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rawings/drawing2.xml" ContentType="application/vnd.openxmlformats-officedocument.drawingml.chartshapes+xml"/>
  <Override PartName="/word/charts/chart10.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b w:val="0"/>
          <w:bCs w:val="0"/>
          <w:color w:val="auto"/>
          <w:sz w:val="76"/>
          <w:szCs w:val="72"/>
          <w:lang w:eastAsia="en-US"/>
        </w:rPr>
        <w:id w:val="746839654"/>
        <w:docPartObj>
          <w:docPartGallery w:val="Cover Pages"/>
          <w:docPartUnique/>
        </w:docPartObj>
      </w:sdtPr>
      <w:sdtEndPr>
        <w:rPr>
          <w:rFonts w:eastAsiaTheme="minorHAnsi" w:cstheme="minorBidi"/>
          <w:sz w:val="22"/>
          <w:szCs w:val="22"/>
        </w:rPr>
      </w:sdtEndPr>
      <w:sdtContent>
        <w:tbl>
          <w:tblPr>
            <w:tblStyle w:val="LightShading"/>
            <w:tblpPr w:leftFromText="187" w:rightFromText="187" w:vertAnchor="page" w:horzAnchor="page" w:tblpXSpec="center" w:tblpYSpec="center"/>
            <w:tblW w:w="5000" w:type="pct"/>
            <w:tblLook w:val="04A0" w:firstRow="1" w:lastRow="0" w:firstColumn="1" w:lastColumn="0" w:noHBand="0" w:noVBand="1"/>
          </w:tblPr>
          <w:tblGrid>
            <w:gridCol w:w="4385"/>
            <w:gridCol w:w="5191"/>
          </w:tblGrid>
          <w:tr w:rsidR="00F51922" w:rsidRPr="008F2761" w:rsidTr="004129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tcPr>
              <w:p w:rsidR="00F51922" w:rsidRPr="008F2761" w:rsidRDefault="00926D39" w:rsidP="00F51922">
                <w:pPr>
                  <w:pStyle w:val="NoSpacing"/>
                  <w:rPr>
                    <w:rFonts w:eastAsiaTheme="majorEastAsia" w:cstheme="majorBidi"/>
                    <w:sz w:val="76"/>
                    <w:szCs w:val="72"/>
                  </w:rPr>
                </w:pPr>
                <w:sdt>
                  <w:sdtPr>
                    <w:rPr>
                      <w:rFonts w:eastAsiaTheme="majorEastAsia" w:cstheme="majorBidi"/>
                      <w:sz w:val="76"/>
                      <w:szCs w:val="72"/>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F51922" w:rsidRPr="008F2761">
                      <w:rPr>
                        <w:rFonts w:eastAsiaTheme="majorEastAsia" w:cstheme="majorBidi"/>
                        <w:sz w:val="76"/>
                        <w:szCs w:val="72"/>
                      </w:rPr>
                      <w:t>FERTILIZER PROGRAM SUMMARY REPORT</w:t>
                    </w:r>
                  </w:sdtContent>
                </w:sdt>
              </w:p>
            </w:tc>
            <w:tc>
              <w:tcPr>
                <w:tcW w:w="5191" w:type="dxa"/>
              </w:tcPr>
              <w:sdt>
                <w:sdtPr>
                  <w:rPr>
                    <w:sz w:val="96"/>
                    <w:szCs w:val="96"/>
                    <w14:shadow w14:blurRad="50800" w14:dist="38100" w14:dir="2700000" w14:sx="100000" w14:sy="100000" w14:kx="0" w14:ky="0" w14:algn="tl">
                      <w14:srgbClr w14:val="000000">
                        <w14:alpha w14:val="60000"/>
                      </w14:srgbClr>
                    </w14:shadow>
                    <w14:numForm w14:val="oldStyle"/>
                  </w:rPr>
                  <w:alias w:val="Year"/>
                  <w:id w:val="276713170"/>
                  <w:dataBinding w:prefixMappings="xmlns:ns0='http://schemas.microsoft.com/office/2006/coverPageProps'" w:xpath="/ns0:CoverPageProperties[1]/ns0:PublishDate[1]" w:storeItemID="{55AF091B-3C7A-41E3-B477-F2FDAA23CFDA}"/>
                  <w:date w:fullDate="2015-01-01T00:00:00Z">
                    <w:dateFormat w:val="yyyy"/>
                    <w:lid w:val="en-US"/>
                    <w:storeMappedDataAs w:val="dateTime"/>
                    <w:calendar w:val="gregorian"/>
                  </w:date>
                </w:sdtPr>
                <w:sdtEndPr/>
                <w:sdtContent>
                  <w:p w:rsidR="00F51922" w:rsidRPr="008F2761" w:rsidRDefault="00F51922" w:rsidP="00F51922">
                    <w:pPr>
                      <w:pStyle w:val="NoSpacing"/>
                      <w:cnfStyle w:val="100000000000" w:firstRow="1" w:lastRow="0" w:firstColumn="0" w:lastColumn="0" w:oddVBand="0" w:evenVBand="0" w:oddHBand="0" w:evenHBand="0" w:firstRowFirstColumn="0" w:firstRowLastColumn="0" w:lastRowFirstColumn="0" w:lastRowLastColumn="0"/>
                      <w:rPr>
                        <w:color w:val="4F81BD" w:themeColor="accent1"/>
                        <w:sz w:val="200"/>
                        <w:szCs w:val="200"/>
                        <w14:numForm w14:val="oldStyle"/>
                      </w:rPr>
                    </w:pPr>
                    <w:r w:rsidRPr="000F28F1">
                      <w:rPr>
                        <w:color w:val="auto"/>
                        <w:sz w:val="96"/>
                        <w:szCs w:val="96"/>
                        <w14:shadow w14:blurRad="50800" w14:dist="38100" w14:dir="2700000" w14:sx="100000" w14:sy="100000" w14:kx="0" w14:ky="0" w14:algn="tl">
                          <w14:srgbClr w14:val="000000">
                            <w14:alpha w14:val="60000"/>
                          </w14:srgbClr>
                        </w14:shadow>
                        <w14:numForm w14:val="oldStyle"/>
                      </w:rPr>
                      <w:t>2015</w:t>
                    </w:r>
                  </w:p>
                </w:sdtContent>
              </w:sdt>
            </w:tc>
          </w:tr>
          <w:tr w:rsidR="00412955" w:rsidRPr="008F2761" w:rsidTr="00F63FAD">
            <w:trPr>
              <w:cnfStyle w:val="000000100000" w:firstRow="0" w:lastRow="0" w:firstColumn="0" w:lastColumn="0" w:oddVBand="0" w:evenVBand="0" w:oddHBand="1" w:evenHBand="0" w:firstRowFirstColumn="0" w:firstRowLastColumn="0" w:lastRowFirstColumn="0" w:lastRowLastColumn="0"/>
            </w:trPr>
            <w:sdt>
              <w:sdtPr>
                <w:rPr>
                  <w:rFonts w:cs="Times New Roman"/>
                  <w:sz w:val="24"/>
                  <w:szCs w:val="24"/>
                </w:rPr>
                <w:alias w:val="Abstract"/>
                <w:id w:val="276713183"/>
                <w:dataBinding w:prefixMappings="xmlns:ns0='http://schemas.microsoft.com/office/2006/coverPageProps'" w:xpath="/ns0:CoverPageProperties[1]/ns0:Abstract[1]" w:storeItemID="{55AF091B-3C7A-41E3-B477-F2FDAA23CFDA}"/>
                <w:text/>
              </w:sdtPr>
              <w:sdtEndPr/>
              <w:sdtContent>
                <w:tc>
                  <w:tcPr>
                    <w:cnfStyle w:val="001000000000" w:firstRow="0" w:lastRow="0" w:firstColumn="1" w:lastColumn="0" w:oddVBand="0" w:evenVBand="0" w:oddHBand="0" w:evenHBand="0" w:firstRowFirstColumn="0" w:firstRowLastColumn="0" w:lastRowFirstColumn="0" w:lastRowLastColumn="0"/>
                    <w:tcW w:w="9576" w:type="dxa"/>
                    <w:gridSpan w:val="2"/>
                    <w:shd w:val="clear" w:color="auto" w:fill="FFFFFF" w:themeFill="background1"/>
                  </w:tcPr>
                  <w:p w:rsidR="00412955" w:rsidRPr="008F2761" w:rsidRDefault="002D5B82" w:rsidP="006E65D3">
                    <w:pPr>
                      <w:pStyle w:val="NoSpacing"/>
                      <w:rPr>
                        <w:sz w:val="24"/>
                        <w:szCs w:val="24"/>
                      </w:rPr>
                    </w:pPr>
                    <w:r w:rsidRPr="008F2761">
                      <w:rPr>
                        <w:rFonts w:cs="Times New Roman"/>
                        <w:sz w:val="24"/>
                        <w:szCs w:val="24"/>
                      </w:rPr>
                      <w:t>Th</w:t>
                    </w:r>
                    <w:r w:rsidR="006E65D3">
                      <w:rPr>
                        <w:rFonts w:cs="Times New Roman"/>
                        <w:sz w:val="24"/>
                        <w:szCs w:val="24"/>
                      </w:rPr>
                      <w:t>is</w:t>
                    </w:r>
                    <w:r w:rsidRPr="008F2761">
                      <w:rPr>
                        <w:rFonts w:cs="Times New Roman"/>
                        <w:sz w:val="24"/>
                        <w:szCs w:val="24"/>
                      </w:rPr>
                      <w:t xml:space="preserve"> report outlines the major accomplishments and</w:t>
                    </w:r>
                    <w:r w:rsidR="00C8013B">
                      <w:rPr>
                        <w:rFonts w:cs="Times New Roman"/>
                        <w:sz w:val="24"/>
                        <w:szCs w:val="24"/>
                      </w:rPr>
                      <w:t xml:space="preserve"> sampling</w:t>
                    </w:r>
                    <w:r w:rsidRPr="008F2761">
                      <w:rPr>
                        <w:rFonts w:cs="Times New Roman"/>
                        <w:sz w:val="24"/>
                        <w:szCs w:val="24"/>
                      </w:rPr>
                      <w:t xml:space="preserve"> results of Maine’s 2015 Fertilizer Quality Control Program produced in accordance with MRS Title 7, Sections § 743,</w:t>
                    </w:r>
                    <w:r w:rsidR="00C8013B">
                      <w:rPr>
                        <w:rFonts w:cs="Times New Roman"/>
                        <w:sz w:val="24"/>
                        <w:szCs w:val="24"/>
                      </w:rPr>
                      <w:t xml:space="preserve">  </w:t>
                    </w:r>
                    <w:r w:rsidRPr="008F2761">
                      <w:rPr>
                        <w:rFonts w:cs="Times New Roman"/>
                        <w:sz w:val="24"/>
                        <w:szCs w:val="24"/>
                      </w:rPr>
                      <w:t xml:space="preserve"> § 743-A, §765 and §766. Our mission statement for this program is to serve, promote and protect the Agricultural Producers, and Retail Consumers of the State of Maine by continuously working to improve the quality of fertilizer products sold in Maine.</w:t>
                    </w:r>
                  </w:p>
                </w:tc>
              </w:sdtContent>
            </w:sdt>
          </w:tr>
        </w:tbl>
        <w:p w:rsidR="00F51922" w:rsidRPr="0023559E" w:rsidRDefault="00F51922">
          <w:pPr>
            <w:rPr>
              <w:b/>
              <w:sz w:val="24"/>
              <w:szCs w:val="24"/>
            </w:rPr>
          </w:pPr>
          <w:r w:rsidRPr="0023559E">
            <w:rPr>
              <w:b/>
              <w:noProof/>
            </w:rPr>
            <w:drawing>
              <wp:anchor distT="0" distB="0" distL="114300" distR="114300" simplePos="0" relativeHeight="251658240" behindDoc="0" locked="0" layoutInCell="1" allowOverlap="1" wp14:anchorId="33015FA7" wp14:editId="56BF5DE3">
                <wp:simplePos x="0" y="0"/>
                <wp:positionH relativeFrom="column">
                  <wp:align>left</wp:align>
                </wp:positionH>
                <wp:positionV relativeFrom="paragraph">
                  <wp:align>top</wp:align>
                </wp:positionV>
                <wp:extent cx="1397000" cy="1371600"/>
                <wp:effectExtent l="0" t="133350" r="260350" b="266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0" cy="1371600"/>
                        </a:xfrm>
                        <a:prstGeom prst="rect">
                          <a:avLst/>
                        </a:prstGeom>
                        <a:ln>
                          <a:noFill/>
                        </a:ln>
                        <a:effectLst>
                          <a:outerShdw blurRad="292100" dist="139700" dir="2700000" algn="tl" rotWithShape="0">
                            <a:srgbClr val="333333">
                              <a:alpha val="65000"/>
                            </a:srgbClr>
                          </a:outerShdw>
                        </a:effectLst>
                      </pic:spPr>
                    </pic:pic>
                  </a:graphicData>
                </a:graphic>
              </wp:anchor>
            </w:drawing>
          </w:r>
          <w:r w:rsidR="0023559E" w:rsidRPr="0023559E">
            <w:rPr>
              <w:b/>
            </w:rPr>
            <w:t xml:space="preserve"> </w:t>
          </w:r>
          <w:r w:rsidRPr="0023559E">
            <w:rPr>
              <w:b/>
            </w:rPr>
            <w:t xml:space="preserve">  </w:t>
          </w:r>
          <w:r w:rsidR="000F28F1" w:rsidRPr="0023559E">
            <w:rPr>
              <w:b/>
              <w:sz w:val="24"/>
              <w:szCs w:val="24"/>
            </w:rPr>
            <w:t>Maine Department of Agriculture, Conservation &amp; Forestry</w:t>
          </w:r>
        </w:p>
        <w:p w:rsidR="000F28F1" w:rsidRPr="0023559E" w:rsidRDefault="0023559E">
          <w:pPr>
            <w:rPr>
              <w:b/>
              <w:sz w:val="24"/>
              <w:szCs w:val="24"/>
            </w:rPr>
          </w:pPr>
          <w:r w:rsidRPr="0023559E">
            <w:rPr>
              <w:b/>
              <w:sz w:val="24"/>
              <w:szCs w:val="24"/>
            </w:rPr>
            <w:t xml:space="preserve">  </w:t>
          </w:r>
          <w:r w:rsidR="000F28F1" w:rsidRPr="0023559E">
            <w:rPr>
              <w:b/>
              <w:sz w:val="24"/>
              <w:szCs w:val="24"/>
            </w:rPr>
            <w:t xml:space="preserve"> Division of Quality Assurance &amp; Regulations</w:t>
          </w:r>
        </w:p>
        <w:p w:rsidR="00F51922" w:rsidRPr="008F2761" w:rsidRDefault="00F51922">
          <w:r w:rsidRPr="008F2761">
            <w:t xml:space="preserve">                </w:t>
          </w:r>
          <w:r w:rsidR="00214133" w:rsidRPr="008F2761">
            <w:t xml:space="preserve"> </w:t>
          </w:r>
          <w:r w:rsidRPr="008F2761">
            <w:br w:type="textWrapping" w:clear="all"/>
          </w:r>
        </w:p>
        <w:p w:rsidR="007B3E86" w:rsidRPr="008F2761" w:rsidRDefault="00B43726">
          <w:r w:rsidRPr="008F2761">
            <w:t>.</w:t>
          </w:r>
        </w:p>
        <w:p w:rsidR="007B3E86" w:rsidRPr="008F2761" w:rsidRDefault="007B3E86" w:rsidP="007B3E86">
          <w:pPr>
            <w:jc w:val="right"/>
          </w:pPr>
        </w:p>
        <w:p w:rsidR="007B3E86" w:rsidRPr="008F2761" w:rsidRDefault="007B3E86" w:rsidP="007B3E86">
          <w:pPr>
            <w:jc w:val="right"/>
          </w:pPr>
        </w:p>
        <w:p w:rsidR="007B3E86" w:rsidRPr="008F2761" w:rsidRDefault="007B3E86" w:rsidP="007B3E86">
          <w:pPr>
            <w:jc w:val="right"/>
          </w:pPr>
        </w:p>
        <w:p w:rsidR="007B3E86" w:rsidRPr="008F2761" w:rsidRDefault="007B3E86" w:rsidP="007B3E86">
          <w:pPr>
            <w:jc w:val="right"/>
          </w:pPr>
        </w:p>
        <w:p w:rsidR="007B3E86" w:rsidRPr="008F2761" w:rsidRDefault="007B3E86" w:rsidP="007B3E86">
          <w:pPr>
            <w:jc w:val="right"/>
          </w:pPr>
        </w:p>
        <w:p w:rsidR="007B3E86" w:rsidRPr="008F2761" w:rsidRDefault="007B3E86" w:rsidP="007B3E86">
          <w:pPr>
            <w:jc w:val="right"/>
          </w:pPr>
        </w:p>
        <w:p w:rsidR="007B3E86" w:rsidRPr="008F2761" w:rsidRDefault="007B3E86" w:rsidP="007B3E86">
          <w:pPr>
            <w:jc w:val="right"/>
          </w:pPr>
        </w:p>
        <w:p w:rsidR="007B3E86" w:rsidRPr="008F2761" w:rsidRDefault="007B3E86" w:rsidP="007B3E86">
          <w:pPr>
            <w:jc w:val="right"/>
          </w:pPr>
        </w:p>
        <w:p w:rsidR="007B3E86" w:rsidRPr="008F2761" w:rsidRDefault="007105EF" w:rsidP="00752E7B">
          <w:pPr>
            <w:rPr>
              <w:rFonts w:cs="Times New Roman"/>
              <w:sz w:val="24"/>
              <w:szCs w:val="24"/>
            </w:rPr>
          </w:pPr>
          <w:r w:rsidRPr="008F2761">
            <w:rPr>
              <w:rFonts w:cs="Times New Roman"/>
              <w:sz w:val="24"/>
              <w:szCs w:val="24"/>
            </w:rPr>
            <w:t>Th</w:t>
          </w:r>
          <w:r w:rsidR="006E65D3">
            <w:rPr>
              <w:rFonts w:cs="Times New Roman"/>
              <w:sz w:val="24"/>
              <w:szCs w:val="24"/>
            </w:rPr>
            <w:t>is</w:t>
          </w:r>
          <w:r w:rsidRPr="008F2761">
            <w:rPr>
              <w:rFonts w:cs="Times New Roman"/>
              <w:sz w:val="24"/>
              <w:szCs w:val="24"/>
            </w:rPr>
            <w:t xml:space="preserve"> report outlines the major accomplishments and</w:t>
          </w:r>
          <w:r w:rsidR="00C8013B">
            <w:rPr>
              <w:rFonts w:cs="Times New Roman"/>
              <w:sz w:val="24"/>
              <w:szCs w:val="24"/>
            </w:rPr>
            <w:t xml:space="preserve"> sampling</w:t>
          </w:r>
          <w:r w:rsidRPr="008F2761">
            <w:rPr>
              <w:rFonts w:cs="Times New Roman"/>
              <w:sz w:val="24"/>
              <w:szCs w:val="24"/>
            </w:rPr>
            <w:t xml:space="preserve"> results of Maine’s 2015 Fertilizer Quality Control Program produced in accordance with MRS Title 7, Sections § 743, § 743-A, §765 and §766.</w:t>
          </w:r>
        </w:p>
        <w:p w:rsidR="007105EF" w:rsidRDefault="00C8013B" w:rsidP="007105EF">
          <w:pPr>
            <w:spacing w:line="240" w:lineRule="auto"/>
            <w:rPr>
              <w:rFonts w:cs="Times New Roman"/>
              <w:sz w:val="24"/>
              <w:szCs w:val="24"/>
            </w:rPr>
          </w:pPr>
          <w:r>
            <w:rPr>
              <w:rFonts w:cs="Times New Roman"/>
              <w:sz w:val="24"/>
              <w:szCs w:val="24"/>
            </w:rPr>
            <w:t>During the 2015 legislative session, several changes were made to Maine’s fertilizer law, including:</w:t>
          </w:r>
        </w:p>
        <w:p w:rsidR="00C8013B" w:rsidRPr="008F2761" w:rsidRDefault="00C8013B" w:rsidP="00C8013B">
          <w:pPr>
            <w:pStyle w:val="ListParagraph"/>
            <w:numPr>
              <w:ilvl w:val="0"/>
              <w:numId w:val="1"/>
            </w:numPr>
            <w:spacing w:line="240" w:lineRule="auto"/>
            <w:rPr>
              <w:rFonts w:cs="Times New Roman"/>
              <w:sz w:val="24"/>
              <w:szCs w:val="24"/>
            </w:rPr>
          </w:pPr>
          <w:r w:rsidRPr="008F2761">
            <w:rPr>
              <w:rFonts w:cs="Times New Roman"/>
              <w:sz w:val="24"/>
              <w:szCs w:val="24"/>
            </w:rPr>
            <w:t>§743-A</w:t>
          </w:r>
          <w:r>
            <w:rPr>
              <w:rFonts w:cs="Times New Roman"/>
              <w:sz w:val="24"/>
              <w:szCs w:val="24"/>
            </w:rPr>
            <w:t xml:space="preserve"> </w:t>
          </w:r>
          <w:r w:rsidRPr="008F2761">
            <w:rPr>
              <w:rFonts w:cs="Times New Roman"/>
              <w:sz w:val="24"/>
              <w:szCs w:val="24"/>
            </w:rPr>
            <w:t xml:space="preserve">and §766 </w:t>
          </w:r>
          <w:r>
            <w:rPr>
              <w:rFonts w:cs="Times New Roman"/>
              <w:sz w:val="24"/>
              <w:szCs w:val="24"/>
            </w:rPr>
            <w:t>was</w:t>
          </w:r>
          <w:r w:rsidRPr="008F2761">
            <w:rPr>
              <w:rFonts w:cs="Times New Roman"/>
              <w:sz w:val="24"/>
              <w:szCs w:val="24"/>
            </w:rPr>
            <w:t xml:space="preserve"> amended to eliminate the $1/ton fee for fertilizer products and liming materials. Companies are still required to report tonnage sold in this State.</w:t>
          </w:r>
        </w:p>
        <w:p w:rsidR="00022911" w:rsidRPr="008F2761" w:rsidRDefault="00B43726" w:rsidP="00022911">
          <w:pPr>
            <w:pStyle w:val="ListParagraph"/>
            <w:numPr>
              <w:ilvl w:val="0"/>
              <w:numId w:val="1"/>
            </w:numPr>
            <w:spacing w:line="240" w:lineRule="auto"/>
            <w:rPr>
              <w:rFonts w:cs="Times New Roman"/>
              <w:sz w:val="24"/>
              <w:szCs w:val="24"/>
            </w:rPr>
          </w:pPr>
          <w:r w:rsidRPr="008F2761">
            <w:rPr>
              <w:rFonts w:cs="Times New Roman"/>
              <w:sz w:val="24"/>
              <w:szCs w:val="24"/>
            </w:rPr>
            <w:t>§743. Registration- The registration</w:t>
          </w:r>
          <w:r w:rsidR="00C8013B">
            <w:rPr>
              <w:rFonts w:cs="Times New Roman"/>
              <w:sz w:val="24"/>
              <w:szCs w:val="24"/>
            </w:rPr>
            <w:t xml:space="preserve"> and sampling</w:t>
          </w:r>
          <w:r w:rsidRPr="008F2761">
            <w:rPr>
              <w:rFonts w:cs="Times New Roman"/>
              <w:sz w:val="24"/>
              <w:szCs w:val="24"/>
            </w:rPr>
            <w:t xml:space="preserve"> fees were </w:t>
          </w:r>
          <w:r w:rsidR="00C8013B">
            <w:rPr>
              <w:rFonts w:cs="Times New Roman"/>
              <w:sz w:val="24"/>
              <w:szCs w:val="24"/>
            </w:rPr>
            <w:t>combined to consolidate and simplify reporting.</w:t>
          </w:r>
          <w:r w:rsidR="00B3069F">
            <w:rPr>
              <w:rFonts w:cs="Times New Roman"/>
              <w:sz w:val="24"/>
              <w:szCs w:val="24"/>
            </w:rPr>
            <w:t xml:space="preserve"> Combined total fees for each product are </w:t>
          </w:r>
          <w:r w:rsidRPr="008F2761">
            <w:rPr>
              <w:rFonts w:cs="Times New Roman"/>
              <w:sz w:val="24"/>
              <w:szCs w:val="24"/>
            </w:rPr>
            <w:t>$125 per product for fertilizer and $75 for liming materials.</w:t>
          </w:r>
          <w:r w:rsidR="00022911" w:rsidRPr="008F2761">
            <w:rPr>
              <w:rFonts w:cs="Times New Roman"/>
              <w:sz w:val="24"/>
              <w:szCs w:val="24"/>
            </w:rPr>
            <w:t xml:space="preserve"> </w:t>
          </w:r>
        </w:p>
        <w:p w:rsidR="007105EF" w:rsidRDefault="0094755F" w:rsidP="007105EF">
          <w:pPr>
            <w:pStyle w:val="ListParagraph"/>
            <w:numPr>
              <w:ilvl w:val="0"/>
              <w:numId w:val="1"/>
            </w:numPr>
            <w:spacing w:line="240" w:lineRule="auto"/>
            <w:rPr>
              <w:rFonts w:cs="Times New Roman"/>
              <w:sz w:val="24"/>
              <w:szCs w:val="24"/>
            </w:rPr>
          </w:pPr>
          <w:r w:rsidRPr="008F2761">
            <w:rPr>
              <w:rFonts w:cs="Times New Roman"/>
              <w:sz w:val="24"/>
              <w:szCs w:val="24"/>
            </w:rPr>
            <w:t xml:space="preserve">§765. </w:t>
          </w:r>
          <w:r w:rsidR="00B43726" w:rsidRPr="008F2761">
            <w:rPr>
              <w:rFonts w:cs="Times New Roman"/>
              <w:sz w:val="24"/>
              <w:szCs w:val="24"/>
            </w:rPr>
            <w:t xml:space="preserve">The $25 fees for both fertilizer and lime </w:t>
          </w:r>
          <w:r w:rsidRPr="008F2761">
            <w:rPr>
              <w:rFonts w:cs="Times New Roman"/>
              <w:sz w:val="24"/>
              <w:szCs w:val="24"/>
            </w:rPr>
            <w:t>must be deposited in a dedicated, nonlapsing account</w:t>
          </w:r>
          <w:r w:rsidR="00B3069F">
            <w:rPr>
              <w:rFonts w:cs="Times New Roman"/>
              <w:sz w:val="24"/>
              <w:szCs w:val="24"/>
            </w:rPr>
            <w:t xml:space="preserve"> and used for the purpose of administering and enforcing the program</w:t>
          </w:r>
          <w:r w:rsidRPr="008F2761">
            <w:rPr>
              <w:rFonts w:cs="Times New Roman"/>
              <w:sz w:val="24"/>
              <w:szCs w:val="24"/>
            </w:rPr>
            <w:t>.</w:t>
          </w:r>
        </w:p>
        <w:p w:rsidR="00B3069F" w:rsidRPr="008F2761" w:rsidRDefault="00B3069F" w:rsidP="007105EF">
          <w:pPr>
            <w:pStyle w:val="ListParagraph"/>
            <w:numPr>
              <w:ilvl w:val="0"/>
              <w:numId w:val="1"/>
            </w:numPr>
            <w:spacing w:line="240" w:lineRule="auto"/>
            <w:rPr>
              <w:rFonts w:cs="Times New Roman"/>
              <w:sz w:val="24"/>
              <w:szCs w:val="24"/>
            </w:rPr>
          </w:pPr>
          <w:r>
            <w:rPr>
              <w:rFonts w:cs="Times New Roman"/>
              <w:sz w:val="24"/>
              <w:szCs w:val="24"/>
            </w:rPr>
            <w:t>Overall, a fee reduction of approximately 10% will result.</w:t>
          </w:r>
        </w:p>
        <w:p w:rsidR="0094755F" w:rsidRPr="00B3069F" w:rsidRDefault="00200C03" w:rsidP="00B3069F">
          <w:pPr>
            <w:pStyle w:val="ListParagraph"/>
            <w:numPr>
              <w:ilvl w:val="0"/>
              <w:numId w:val="1"/>
            </w:numPr>
            <w:spacing w:line="240" w:lineRule="auto"/>
            <w:rPr>
              <w:rFonts w:cs="Times New Roman"/>
              <w:sz w:val="24"/>
              <w:szCs w:val="24"/>
            </w:rPr>
          </w:pPr>
          <w:r w:rsidRPr="00B3069F">
            <w:rPr>
              <w:rFonts w:cs="Times New Roman"/>
              <w:sz w:val="24"/>
              <w:szCs w:val="24"/>
            </w:rPr>
            <w:t>T</w:t>
          </w:r>
          <w:r w:rsidR="0008027B" w:rsidRPr="00B3069F">
            <w:rPr>
              <w:rFonts w:cs="Times New Roman"/>
              <w:sz w:val="24"/>
              <w:szCs w:val="24"/>
            </w:rPr>
            <w:t>he submission of an annual report</w:t>
          </w:r>
          <w:r w:rsidRPr="00B3069F">
            <w:rPr>
              <w:rFonts w:cs="Times New Roman"/>
              <w:sz w:val="24"/>
              <w:szCs w:val="24"/>
            </w:rPr>
            <w:t xml:space="preserve"> is required t</w:t>
          </w:r>
          <w:r w:rsidR="0008027B" w:rsidRPr="00B3069F">
            <w:rPr>
              <w:rFonts w:cs="Times New Roman"/>
              <w:sz w:val="24"/>
              <w:szCs w:val="24"/>
            </w:rPr>
            <w:t>o the joint standing committee of the Legislature having jurisdiction over agricultural matters, which is authorized to report out a bill.</w:t>
          </w:r>
        </w:p>
        <w:p w:rsidR="00F8152F" w:rsidRPr="008F2761" w:rsidRDefault="00F8152F" w:rsidP="0094755F">
          <w:pPr>
            <w:spacing w:line="240" w:lineRule="auto"/>
            <w:rPr>
              <w:rFonts w:cs="Times New Roman"/>
              <w:sz w:val="24"/>
              <w:szCs w:val="24"/>
            </w:rPr>
          </w:pPr>
          <w:r w:rsidRPr="008F2761">
            <w:rPr>
              <w:rFonts w:cs="Times New Roman"/>
              <w:b/>
              <w:sz w:val="24"/>
              <w:szCs w:val="24"/>
            </w:rPr>
            <w:t>Note:</w:t>
          </w:r>
          <w:r w:rsidRPr="008F2761">
            <w:rPr>
              <w:rFonts w:cs="Times New Roman"/>
              <w:sz w:val="24"/>
              <w:szCs w:val="24"/>
            </w:rPr>
            <w:t xml:space="preserve"> No tonnage fees were collected for 2015. </w:t>
          </w:r>
        </w:p>
        <w:p w:rsidR="00B43726" w:rsidRPr="008F2761" w:rsidRDefault="007D0983" w:rsidP="00C74DE7">
          <w:pPr>
            <w:spacing w:line="240" w:lineRule="auto"/>
            <w:rPr>
              <w:rFonts w:cs="Times New Roman"/>
              <w:sz w:val="24"/>
              <w:szCs w:val="24"/>
            </w:rPr>
          </w:pPr>
          <w:r w:rsidRPr="008F2761">
            <w:rPr>
              <w:rFonts w:cs="Times New Roman"/>
              <w:sz w:val="24"/>
              <w:szCs w:val="24"/>
            </w:rPr>
            <w:t>So</w:t>
          </w:r>
          <w:r w:rsidR="00CC7B35">
            <w:rPr>
              <w:rFonts w:cs="Times New Roman"/>
              <w:sz w:val="24"/>
              <w:szCs w:val="24"/>
            </w:rPr>
            <w:t>me of the major accomplishments for 2015:</w:t>
          </w:r>
        </w:p>
        <w:p w:rsidR="005628DA" w:rsidRPr="008F2761" w:rsidRDefault="005628DA" w:rsidP="005628DA">
          <w:pPr>
            <w:pStyle w:val="ListParagraph"/>
            <w:numPr>
              <w:ilvl w:val="0"/>
              <w:numId w:val="2"/>
            </w:numPr>
            <w:spacing w:line="240" w:lineRule="auto"/>
            <w:rPr>
              <w:rFonts w:cs="Times New Roman"/>
              <w:sz w:val="24"/>
              <w:szCs w:val="24"/>
            </w:rPr>
          </w:pPr>
          <w:r w:rsidRPr="008F2761">
            <w:rPr>
              <w:rFonts w:cs="Times New Roman"/>
              <w:sz w:val="24"/>
              <w:szCs w:val="24"/>
            </w:rPr>
            <w:t>Increased</w:t>
          </w:r>
          <w:r w:rsidR="00C55479" w:rsidRPr="008F2761">
            <w:rPr>
              <w:rFonts w:cs="Times New Roman"/>
              <w:sz w:val="24"/>
              <w:szCs w:val="24"/>
            </w:rPr>
            <w:t xml:space="preserve"> overall</w:t>
          </w:r>
          <w:r w:rsidRPr="008F2761">
            <w:rPr>
              <w:rFonts w:cs="Times New Roman"/>
              <w:sz w:val="24"/>
              <w:szCs w:val="24"/>
            </w:rPr>
            <w:t xml:space="preserve"> sampling activity by 106%</w:t>
          </w:r>
        </w:p>
        <w:p w:rsidR="00C55479" w:rsidRPr="008F2761" w:rsidRDefault="00C55479" w:rsidP="005628DA">
          <w:pPr>
            <w:pStyle w:val="ListParagraph"/>
            <w:numPr>
              <w:ilvl w:val="0"/>
              <w:numId w:val="2"/>
            </w:numPr>
            <w:spacing w:line="240" w:lineRule="auto"/>
            <w:rPr>
              <w:rFonts w:cs="Times New Roman"/>
              <w:sz w:val="24"/>
              <w:szCs w:val="24"/>
            </w:rPr>
          </w:pPr>
          <w:r w:rsidRPr="008F2761">
            <w:rPr>
              <w:rFonts w:cs="Times New Roman"/>
              <w:sz w:val="24"/>
              <w:szCs w:val="24"/>
            </w:rPr>
            <w:t>Increased Retail Sampling activity by 196%</w:t>
          </w:r>
        </w:p>
        <w:p w:rsidR="005628DA" w:rsidRPr="008F2761" w:rsidRDefault="005628DA" w:rsidP="005628DA">
          <w:pPr>
            <w:pStyle w:val="ListParagraph"/>
            <w:numPr>
              <w:ilvl w:val="0"/>
              <w:numId w:val="2"/>
            </w:numPr>
            <w:spacing w:line="240" w:lineRule="auto"/>
            <w:rPr>
              <w:rFonts w:cs="Times New Roman"/>
              <w:sz w:val="24"/>
              <w:szCs w:val="24"/>
            </w:rPr>
          </w:pPr>
          <w:r w:rsidRPr="008F2761">
            <w:rPr>
              <w:rFonts w:cs="Times New Roman"/>
              <w:sz w:val="24"/>
              <w:szCs w:val="24"/>
            </w:rPr>
            <w:t xml:space="preserve">Decreased </w:t>
          </w:r>
          <w:r w:rsidR="00BC1981" w:rsidRPr="008F2761">
            <w:rPr>
              <w:rFonts w:cs="Times New Roman"/>
              <w:sz w:val="24"/>
              <w:szCs w:val="24"/>
            </w:rPr>
            <w:t>turnaround</w:t>
          </w:r>
          <w:r w:rsidRPr="008F2761">
            <w:rPr>
              <w:rFonts w:cs="Times New Roman"/>
              <w:sz w:val="24"/>
              <w:szCs w:val="24"/>
            </w:rPr>
            <w:t xml:space="preserve"> times for grower results by contracting</w:t>
          </w:r>
          <w:r w:rsidR="00BC1981" w:rsidRPr="008F2761">
            <w:rPr>
              <w:rFonts w:cs="Times New Roman"/>
              <w:sz w:val="24"/>
              <w:szCs w:val="24"/>
            </w:rPr>
            <w:t xml:space="preserve"> out an</w:t>
          </w:r>
          <w:r w:rsidRPr="008F2761">
            <w:rPr>
              <w:rFonts w:cs="Times New Roman"/>
              <w:sz w:val="24"/>
              <w:szCs w:val="24"/>
            </w:rPr>
            <w:t xml:space="preserve"> additional lab during planting season. Results posted on web site</w:t>
          </w:r>
          <w:r w:rsidR="00BC1981" w:rsidRPr="008F2761">
            <w:rPr>
              <w:rFonts w:cs="Times New Roman"/>
              <w:sz w:val="24"/>
              <w:szCs w:val="24"/>
            </w:rPr>
            <w:t xml:space="preserve"> the same day of receiving results.</w:t>
          </w:r>
        </w:p>
        <w:p w:rsidR="00BC1981" w:rsidRPr="008F2761" w:rsidRDefault="00C01804" w:rsidP="005628DA">
          <w:pPr>
            <w:pStyle w:val="ListParagraph"/>
            <w:numPr>
              <w:ilvl w:val="0"/>
              <w:numId w:val="2"/>
            </w:numPr>
            <w:spacing w:line="240" w:lineRule="auto"/>
            <w:rPr>
              <w:rFonts w:cs="Times New Roman"/>
              <w:sz w:val="24"/>
              <w:szCs w:val="24"/>
            </w:rPr>
          </w:pPr>
          <w:r>
            <w:rPr>
              <w:rFonts w:cs="Times New Roman"/>
              <w:sz w:val="24"/>
              <w:szCs w:val="24"/>
            </w:rPr>
            <w:t xml:space="preserve">Conducted a training and discussion face to face meeting with fertilizer blenders </w:t>
          </w:r>
          <w:r w:rsidR="00BC1981" w:rsidRPr="008F2761">
            <w:rPr>
              <w:rFonts w:cs="Times New Roman"/>
              <w:sz w:val="24"/>
              <w:szCs w:val="24"/>
            </w:rPr>
            <w:t>outlining Legislative changes, Product Registration, Tonnage Reporting, Labeling and Restitution to comply with the Statutes.</w:t>
          </w:r>
        </w:p>
        <w:p w:rsidR="00F8152F" w:rsidRPr="008F2761" w:rsidRDefault="00F8152F" w:rsidP="00F8152F">
          <w:pPr>
            <w:spacing w:line="240" w:lineRule="auto"/>
            <w:rPr>
              <w:rFonts w:cs="Times New Roman"/>
              <w:sz w:val="24"/>
              <w:szCs w:val="24"/>
            </w:rPr>
          </w:pPr>
          <w:r w:rsidRPr="008F2761">
            <w:rPr>
              <w:rFonts w:cs="Times New Roman"/>
              <w:sz w:val="24"/>
              <w:szCs w:val="24"/>
            </w:rPr>
            <w:t>Through</w:t>
          </w:r>
          <w:r w:rsidR="003625D6" w:rsidRPr="008F2761">
            <w:rPr>
              <w:rFonts w:cs="Times New Roman"/>
              <w:sz w:val="24"/>
              <w:szCs w:val="24"/>
            </w:rPr>
            <w:t xml:space="preserve"> legislative</w:t>
          </w:r>
          <w:r w:rsidRPr="008F2761">
            <w:rPr>
              <w:rFonts w:cs="Times New Roman"/>
              <w:sz w:val="24"/>
              <w:szCs w:val="24"/>
            </w:rPr>
            <w:t xml:space="preserve"> </w:t>
          </w:r>
          <w:r w:rsidR="003625D6" w:rsidRPr="008F2761">
            <w:rPr>
              <w:rFonts w:cs="Times New Roman"/>
              <w:sz w:val="24"/>
              <w:szCs w:val="24"/>
            </w:rPr>
            <w:t>changes</w:t>
          </w:r>
          <w:r w:rsidRPr="008F2761">
            <w:rPr>
              <w:rFonts w:cs="Times New Roman"/>
              <w:sz w:val="24"/>
              <w:szCs w:val="24"/>
            </w:rPr>
            <w:t xml:space="preserve"> in the statute</w:t>
          </w:r>
          <w:r w:rsidR="003625D6" w:rsidRPr="008F2761">
            <w:rPr>
              <w:rFonts w:cs="Times New Roman"/>
              <w:sz w:val="24"/>
              <w:szCs w:val="24"/>
            </w:rPr>
            <w:t xml:space="preserve"> language</w:t>
          </w:r>
          <w:r w:rsidRPr="008F2761">
            <w:rPr>
              <w:rFonts w:cs="Times New Roman"/>
              <w:sz w:val="24"/>
              <w:szCs w:val="24"/>
            </w:rPr>
            <w:t xml:space="preserve"> this past year</w:t>
          </w:r>
          <w:r w:rsidR="00C01804">
            <w:rPr>
              <w:rFonts w:cs="Times New Roman"/>
              <w:sz w:val="24"/>
              <w:szCs w:val="24"/>
            </w:rPr>
            <w:t>,</w:t>
          </w:r>
          <w:r w:rsidR="003625D6" w:rsidRPr="008F2761">
            <w:rPr>
              <w:rFonts w:cs="Times New Roman"/>
              <w:sz w:val="24"/>
              <w:szCs w:val="24"/>
            </w:rPr>
            <w:t xml:space="preserve"> </w:t>
          </w:r>
          <w:r w:rsidR="00C01804">
            <w:rPr>
              <w:rFonts w:cs="Times New Roman"/>
              <w:sz w:val="24"/>
              <w:szCs w:val="24"/>
            </w:rPr>
            <w:t xml:space="preserve">the program </w:t>
          </w:r>
          <w:r w:rsidR="003625D6" w:rsidRPr="008F2761">
            <w:rPr>
              <w:rFonts w:cs="Times New Roman"/>
              <w:sz w:val="24"/>
              <w:szCs w:val="24"/>
            </w:rPr>
            <w:t>can now implement warnings and penalties for non-compliances and deficiencies. We are developing a database to calculate and track these non-compliances and deficiencies. All calculations and issues relating to non-compliances were presented to the</w:t>
          </w:r>
          <w:r w:rsidR="00C01804">
            <w:rPr>
              <w:rFonts w:cs="Times New Roman"/>
              <w:sz w:val="24"/>
              <w:szCs w:val="24"/>
            </w:rPr>
            <w:t xml:space="preserve"> blenders</w:t>
          </w:r>
          <w:r w:rsidR="003625D6" w:rsidRPr="008F2761">
            <w:rPr>
              <w:rFonts w:cs="Times New Roman"/>
              <w:sz w:val="24"/>
              <w:szCs w:val="24"/>
            </w:rPr>
            <w:t>.</w:t>
          </w:r>
        </w:p>
        <w:p w:rsidR="00BC1981" w:rsidRPr="008F2761" w:rsidRDefault="003E20B8" w:rsidP="00BC1981">
          <w:pPr>
            <w:spacing w:line="240" w:lineRule="auto"/>
            <w:rPr>
              <w:rFonts w:cs="Times New Roman"/>
              <w:sz w:val="24"/>
              <w:szCs w:val="24"/>
            </w:rPr>
          </w:pPr>
          <w:r w:rsidRPr="008F2761">
            <w:rPr>
              <w:rFonts w:cs="Times New Roman"/>
              <w:sz w:val="24"/>
              <w:szCs w:val="24"/>
            </w:rPr>
            <w:t>Additional</w:t>
          </w:r>
          <w:r w:rsidR="00BC1981" w:rsidRPr="008F2761">
            <w:rPr>
              <w:rFonts w:cs="Times New Roman"/>
              <w:sz w:val="24"/>
              <w:szCs w:val="24"/>
            </w:rPr>
            <w:t xml:space="preserve"> staff</w:t>
          </w:r>
          <w:r w:rsidRPr="008F2761">
            <w:rPr>
              <w:rFonts w:cs="Times New Roman"/>
              <w:sz w:val="24"/>
              <w:szCs w:val="24"/>
            </w:rPr>
            <w:t xml:space="preserve"> ha</w:t>
          </w:r>
          <w:r w:rsidR="00C01804">
            <w:rPr>
              <w:rFonts w:cs="Times New Roman"/>
              <w:sz w:val="24"/>
              <w:szCs w:val="24"/>
            </w:rPr>
            <w:t>ve</w:t>
          </w:r>
          <w:r w:rsidRPr="008F2761">
            <w:rPr>
              <w:rFonts w:cs="Times New Roman"/>
              <w:sz w:val="24"/>
              <w:szCs w:val="24"/>
            </w:rPr>
            <w:t xml:space="preserve"> been trained</w:t>
          </w:r>
          <w:r w:rsidR="00BC1981" w:rsidRPr="008F2761">
            <w:rPr>
              <w:rFonts w:cs="Times New Roman"/>
              <w:sz w:val="24"/>
              <w:szCs w:val="24"/>
            </w:rPr>
            <w:t xml:space="preserve"> in sampling</w:t>
          </w:r>
          <w:r w:rsidRPr="008F2761">
            <w:rPr>
              <w:rFonts w:cs="Times New Roman"/>
              <w:sz w:val="24"/>
              <w:szCs w:val="24"/>
            </w:rPr>
            <w:t xml:space="preserve"> techniques</w:t>
          </w:r>
          <w:r w:rsidR="00D1587A" w:rsidRPr="008F2761">
            <w:rPr>
              <w:rFonts w:cs="Times New Roman"/>
              <w:sz w:val="24"/>
              <w:szCs w:val="24"/>
            </w:rPr>
            <w:t xml:space="preserve"> and safety</w:t>
          </w:r>
          <w:r w:rsidRPr="008F2761">
            <w:rPr>
              <w:rFonts w:cs="Times New Roman"/>
              <w:sz w:val="24"/>
              <w:szCs w:val="24"/>
            </w:rPr>
            <w:t xml:space="preserve"> procedures</w:t>
          </w:r>
          <w:r w:rsidR="00D1587A" w:rsidRPr="008F2761">
            <w:rPr>
              <w:rFonts w:cs="Times New Roman"/>
              <w:sz w:val="24"/>
              <w:szCs w:val="24"/>
            </w:rPr>
            <w:t xml:space="preserve"> through the development of an in house training program. </w:t>
          </w:r>
          <w:r w:rsidR="0040634F" w:rsidRPr="008F2761">
            <w:rPr>
              <w:rFonts w:cs="Times New Roman"/>
              <w:sz w:val="24"/>
              <w:szCs w:val="24"/>
            </w:rPr>
            <w:t>A</w:t>
          </w:r>
          <w:r w:rsidR="00D1587A" w:rsidRPr="008F2761">
            <w:rPr>
              <w:rFonts w:cs="Times New Roman"/>
              <w:sz w:val="24"/>
              <w:szCs w:val="24"/>
            </w:rPr>
            <w:t xml:space="preserve"> staff member </w:t>
          </w:r>
          <w:r w:rsidR="0040634F" w:rsidRPr="008F2761">
            <w:rPr>
              <w:rFonts w:cs="Times New Roman"/>
              <w:sz w:val="24"/>
              <w:szCs w:val="24"/>
            </w:rPr>
            <w:t>attended</w:t>
          </w:r>
          <w:r w:rsidR="00D1587A" w:rsidRPr="008F2761">
            <w:rPr>
              <w:rFonts w:cs="Times New Roman"/>
              <w:sz w:val="24"/>
              <w:szCs w:val="24"/>
            </w:rPr>
            <w:t xml:space="preserve"> a Basic Inspector Training seminar provided by the Association of American Plant Food Control Officials to acquire up to date knowledge on sampling techniques of various commodities and preservation of an official sample to comply with regulations and </w:t>
          </w:r>
          <w:r w:rsidR="00921C3B" w:rsidRPr="008F2761">
            <w:rPr>
              <w:rFonts w:cs="Times New Roman"/>
              <w:sz w:val="24"/>
              <w:szCs w:val="24"/>
            </w:rPr>
            <w:t>uniformity with other States.</w:t>
          </w:r>
        </w:p>
        <w:p w:rsidR="00A72B61" w:rsidRPr="008F2761" w:rsidRDefault="00AA4191" w:rsidP="00BC1981">
          <w:pPr>
            <w:spacing w:line="240" w:lineRule="auto"/>
            <w:rPr>
              <w:rFonts w:cs="Times New Roman"/>
              <w:sz w:val="24"/>
              <w:szCs w:val="24"/>
            </w:rPr>
          </w:pPr>
          <w:r>
            <w:rPr>
              <w:rFonts w:cs="Times New Roman"/>
              <w:sz w:val="24"/>
              <w:szCs w:val="24"/>
            </w:rPr>
            <w:t xml:space="preserve">The program </w:t>
          </w:r>
          <w:r w:rsidR="00A72B61" w:rsidRPr="008F2761">
            <w:rPr>
              <w:rFonts w:cs="Times New Roman"/>
              <w:sz w:val="24"/>
              <w:szCs w:val="24"/>
            </w:rPr>
            <w:t>continue</w:t>
          </w:r>
          <w:r>
            <w:rPr>
              <w:rFonts w:cs="Times New Roman"/>
              <w:sz w:val="24"/>
              <w:szCs w:val="24"/>
            </w:rPr>
            <w:t>d</w:t>
          </w:r>
          <w:r w:rsidR="00A72B61" w:rsidRPr="008F2761">
            <w:rPr>
              <w:rFonts w:cs="Times New Roman"/>
              <w:sz w:val="24"/>
              <w:szCs w:val="24"/>
            </w:rPr>
            <w:t xml:space="preserve"> sampling materials at each Blend Plant, including Canadian plants. </w:t>
          </w:r>
          <w:r>
            <w:rPr>
              <w:rFonts w:cs="Times New Roman"/>
              <w:sz w:val="24"/>
              <w:szCs w:val="24"/>
            </w:rPr>
            <w:t xml:space="preserve">During 2014 </w:t>
          </w:r>
          <w:r w:rsidR="00A72B61" w:rsidRPr="008F2761">
            <w:rPr>
              <w:rFonts w:cs="Times New Roman"/>
              <w:sz w:val="24"/>
              <w:szCs w:val="24"/>
            </w:rPr>
            <w:t xml:space="preserve">we </w:t>
          </w:r>
          <w:r>
            <w:rPr>
              <w:rFonts w:cs="Times New Roman"/>
              <w:sz w:val="24"/>
              <w:szCs w:val="24"/>
            </w:rPr>
            <w:t xml:space="preserve">identified </w:t>
          </w:r>
          <w:r w:rsidR="00A72B61" w:rsidRPr="008F2761">
            <w:rPr>
              <w:rFonts w:cs="Times New Roman"/>
              <w:sz w:val="24"/>
              <w:szCs w:val="24"/>
            </w:rPr>
            <w:t xml:space="preserve">deficiencies in Available Phosphate and Soluble Potash which may have contributed to </w:t>
          </w:r>
          <w:r>
            <w:rPr>
              <w:rFonts w:cs="Times New Roman"/>
              <w:sz w:val="24"/>
              <w:szCs w:val="24"/>
            </w:rPr>
            <w:t xml:space="preserve">the 2014 </w:t>
          </w:r>
          <w:r w:rsidR="00A72B61" w:rsidRPr="008F2761">
            <w:rPr>
              <w:rFonts w:cs="Times New Roman"/>
              <w:sz w:val="24"/>
              <w:szCs w:val="24"/>
            </w:rPr>
            <w:t xml:space="preserve">deficiency rate. This year we sampled materials from all Blend Plants and all samples passed. </w:t>
          </w:r>
          <w:r w:rsidR="00C836E4" w:rsidRPr="008F2761">
            <w:rPr>
              <w:rFonts w:cs="Times New Roman"/>
              <w:sz w:val="24"/>
              <w:szCs w:val="24"/>
            </w:rPr>
            <w:t>We have been invit</w:t>
          </w:r>
          <w:r>
            <w:rPr>
              <w:rFonts w:cs="Times New Roman"/>
              <w:sz w:val="24"/>
              <w:szCs w:val="24"/>
            </w:rPr>
            <w:t>ed by the Blend Plants to sample</w:t>
          </w:r>
          <w:r w:rsidR="00C836E4" w:rsidRPr="008F2761">
            <w:rPr>
              <w:rFonts w:cs="Times New Roman"/>
              <w:sz w:val="24"/>
              <w:szCs w:val="24"/>
            </w:rPr>
            <w:t xml:space="preserve"> materials </w:t>
          </w:r>
          <w:r>
            <w:rPr>
              <w:rFonts w:cs="Times New Roman"/>
              <w:sz w:val="24"/>
              <w:szCs w:val="24"/>
            </w:rPr>
            <w:t xml:space="preserve"> </w:t>
          </w:r>
          <w:r w:rsidR="00C836E4" w:rsidRPr="008F2761">
            <w:rPr>
              <w:rFonts w:cs="Times New Roman"/>
              <w:sz w:val="24"/>
              <w:szCs w:val="24"/>
            </w:rPr>
            <w:t>for this upcoming season.</w:t>
          </w:r>
        </w:p>
        <w:p w:rsidR="00C836E4" w:rsidRPr="008F2761" w:rsidRDefault="00AA4191" w:rsidP="00BC1981">
          <w:pPr>
            <w:spacing w:line="240" w:lineRule="auto"/>
            <w:rPr>
              <w:rFonts w:cs="Times New Roman"/>
              <w:sz w:val="24"/>
              <w:szCs w:val="24"/>
            </w:rPr>
          </w:pPr>
          <w:r>
            <w:rPr>
              <w:rFonts w:cs="Times New Roman"/>
              <w:sz w:val="24"/>
              <w:szCs w:val="24"/>
            </w:rPr>
            <w:t xml:space="preserve">Over the last five (5) years </w:t>
          </w:r>
          <w:r w:rsidR="00926822" w:rsidRPr="008F2761">
            <w:rPr>
              <w:rFonts w:cs="Times New Roman"/>
              <w:sz w:val="24"/>
              <w:szCs w:val="24"/>
            </w:rPr>
            <w:t xml:space="preserve">our sampling </w:t>
          </w:r>
          <w:r w:rsidR="00221254" w:rsidRPr="008F2761">
            <w:rPr>
              <w:rFonts w:cs="Times New Roman"/>
              <w:sz w:val="24"/>
              <w:szCs w:val="24"/>
            </w:rPr>
            <w:t>efforts have increased to a record high of 315</w:t>
          </w:r>
          <w:r>
            <w:rPr>
              <w:rFonts w:cs="Times New Roman"/>
              <w:sz w:val="24"/>
              <w:szCs w:val="24"/>
            </w:rPr>
            <w:t xml:space="preserve"> in 2015</w:t>
          </w:r>
          <w:r w:rsidR="00221254" w:rsidRPr="008F2761">
            <w:rPr>
              <w:rFonts w:cs="Times New Roman"/>
              <w:sz w:val="24"/>
              <w:szCs w:val="24"/>
            </w:rPr>
            <w:t xml:space="preserve">. </w:t>
          </w:r>
          <w:r w:rsidR="00A72B61" w:rsidRPr="008F2761">
            <w:rPr>
              <w:rFonts w:cs="Times New Roman"/>
              <w:sz w:val="24"/>
              <w:szCs w:val="24"/>
            </w:rPr>
            <w:t>Our goal is to stabilize around 300 samples each year.</w:t>
          </w:r>
          <w:r w:rsidR="00A12B4F" w:rsidRPr="008F2761">
            <w:rPr>
              <w:rFonts w:cs="Times New Roman"/>
              <w:sz w:val="24"/>
              <w:szCs w:val="24"/>
            </w:rPr>
            <w:t xml:space="preserve"> The deficiency rates for most of the Blend Plants have declined over the years</w:t>
          </w:r>
          <w:r>
            <w:rPr>
              <w:rFonts w:cs="Times New Roman"/>
              <w:sz w:val="24"/>
              <w:szCs w:val="24"/>
            </w:rPr>
            <w:t xml:space="preserve"> as the department</w:t>
          </w:r>
          <w:r w:rsidR="00A12B4F" w:rsidRPr="008F2761">
            <w:rPr>
              <w:rFonts w:cs="Times New Roman"/>
              <w:sz w:val="24"/>
              <w:szCs w:val="24"/>
            </w:rPr>
            <w:t xml:space="preserve"> increase</w:t>
          </w:r>
          <w:r>
            <w:rPr>
              <w:rFonts w:cs="Times New Roman"/>
              <w:sz w:val="24"/>
              <w:szCs w:val="24"/>
            </w:rPr>
            <w:t>d</w:t>
          </w:r>
          <w:r w:rsidR="00A12B4F" w:rsidRPr="008F2761">
            <w:rPr>
              <w:rFonts w:cs="Times New Roman"/>
              <w:sz w:val="24"/>
              <w:szCs w:val="24"/>
            </w:rPr>
            <w:t xml:space="preserve"> the amount of samples. The deficiency rate for the </w:t>
          </w:r>
          <w:r w:rsidR="00DD4DD4">
            <w:rPr>
              <w:rFonts w:cs="Times New Roman"/>
              <w:sz w:val="24"/>
              <w:szCs w:val="24"/>
            </w:rPr>
            <w:t>r</w:t>
          </w:r>
          <w:r w:rsidR="00A12B4F" w:rsidRPr="008F2761">
            <w:rPr>
              <w:rFonts w:cs="Times New Roman"/>
              <w:sz w:val="24"/>
              <w:szCs w:val="24"/>
            </w:rPr>
            <w:t xml:space="preserve">etail products has remained relatively the same even with an increase in the amount of samples. These results will be better illustrated in the graphs later in this report. </w:t>
          </w:r>
        </w:p>
        <w:p w:rsidR="00257C7A" w:rsidRPr="008F2761" w:rsidRDefault="00C836E4" w:rsidP="00BC1981">
          <w:pPr>
            <w:spacing w:line="240" w:lineRule="auto"/>
            <w:rPr>
              <w:rFonts w:cs="Times New Roman"/>
              <w:sz w:val="24"/>
              <w:szCs w:val="24"/>
            </w:rPr>
          </w:pPr>
          <w:r w:rsidRPr="008F2761">
            <w:rPr>
              <w:rFonts w:cs="Times New Roman"/>
              <w:sz w:val="24"/>
              <w:szCs w:val="24"/>
            </w:rPr>
            <w:t>Labeling of fertilizer products has been of major concern for our program with many non-comp</w:t>
          </w:r>
          <w:r w:rsidR="009C1408">
            <w:rPr>
              <w:rFonts w:cs="Times New Roman"/>
              <w:sz w:val="24"/>
              <w:szCs w:val="24"/>
            </w:rPr>
            <w:t>lying products entering the market.</w:t>
          </w:r>
          <w:r w:rsidRPr="008F2761">
            <w:rPr>
              <w:rFonts w:cs="Times New Roman"/>
              <w:sz w:val="24"/>
              <w:szCs w:val="24"/>
            </w:rPr>
            <w:t xml:space="preserve"> Through legislative changes in the statute language this year, we will be able to</w:t>
          </w:r>
          <w:r w:rsidR="009C1408">
            <w:rPr>
              <w:rFonts w:cs="Times New Roman"/>
              <w:sz w:val="24"/>
              <w:szCs w:val="24"/>
            </w:rPr>
            <w:t xml:space="preserve"> better </w:t>
          </w:r>
          <w:r w:rsidRPr="008F2761">
            <w:rPr>
              <w:rFonts w:cs="Times New Roman"/>
              <w:sz w:val="24"/>
              <w:szCs w:val="24"/>
            </w:rPr>
            <w:t>address labeling requirements</w:t>
          </w:r>
          <w:r w:rsidR="0001727C">
            <w:rPr>
              <w:rFonts w:cs="Times New Roman"/>
              <w:sz w:val="24"/>
              <w:szCs w:val="24"/>
            </w:rPr>
            <w:t>.</w:t>
          </w:r>
          <w:r w:rsidR="009C1408">
            <w:rPr>
              <w:rFonts w:cs="Times New Roman"/>
              <w:sz w:val="24"/>
              <w:szCs w:val="24"/>
            </w:rPr>
            <w:t xml:space="preserve"> </w:t>
          </w:r>
          <w:r w:rsidR="0001727C">
            <w:rPr>
              <w:rFonts w:cs="Times New Roman"/>
              <w:sz w:val="24"/>
              <w:szCs w:val="24"/>
            </w:rPr>
            <w:t>T</w:t>
          </w:r>
          <w:r w:rsidR="009C1408">
            <w:rPr>
              <w:rFonts w:cs="Times New Roman"/>
              <w:sz w:val="24"/>
              <w:szCs w:val="24"/>
            </w:rPr>
            <w:t>o ensure</w:t>
          </w:r>
          <w:r w:rsidR="0001727C">
            <w:rPr>
              <w:rFonts w:cs="Times New Roman"/>
              <w:sz w:val="24"/>
              <w:szCs w:val="24"/>
            </w:rPr>
            <w:t xml:space="preserve"> both Agricultural Producers, and Retail</w:t>
          </w:r>
          <w:r w:rsidR="009C1408">
            <w:rPr>
              <w:rFonts w:cs="Times New Roman"/>
              <w:sz w:val="24"/>
              <w:szCs w:val="24"/>
            </w:rPr>
            <w:t xml:space="preserve"> </w:t>
          </w:r>
          <w:r w:rsidR="0001727C">
            <w:rPr>
              <w:rFonts w:cs="Times New Roman"/>
              <w:sz w:val="24"/>
              <w:szCs w:val="24"/>
            </w:rPr>
            <w:t>C</w:t>
          </w:r>
          <w:r w:rsidR="009C1408">
            <w:rPr>
              <w:rFonts w:cs="Times New Roman"/>
              <w:sz w:val="24"/>
              <w:szCs w:val="24"/>
            </w:rPr>
            <w:t>onsumers are properly informed</w:t>
          </w:r>
          <w:r w:rsidR="0001727C">
            <w:rPr>
              <w:rFonts w:cs="Times New Roman"/>
              <w:sz w:val="24"/>
              <w:szCs w:val="24"/>
            </w:rPr>
            <w:t xml:space="preserve"> of the safe use of fertilizers and are purchasing product as stated on the label verified through sampling and laboratory analysis. </w:t>
          </w:r>
        </w:p>
        <w:p w:rsidR="00F9725A" w:rsidRDefault="00502282" w:rsidP="00502282">
          <w:pPr>
            <w:spacing w:line="240" w:lineRule="auto"/>
            <w:rPr>
              <w:rFonts w:ascii="Calibri" w:hAnsi="Calibri" w:cs="Times New Roman"/>
              <w:sz w:val="24"/>
              <w:szCs w:val="24"/>
            </w:rPr>
          </w:pPr>
          <w:r>
            <w:rPr>
              <w:rFonts w:ascii="Calibri" w:hAnsi="Calibri" w:cs="Times New Roman"/>
              <w:sz w:val="24"/>
              <w:szCs w:val="24"/>
            </w:rPr>
            <w:t>This year we added an additional lab to provide analysis of fertilizer samples to provide growers with quicker results</w:t>
          </w:r>
          <w:r w:rsidR="00495BAB">
            <w:rPr>
              <w:rFonts w:ascii="Calibri" w:hAnsi="Calibri" w:cs="Times New Roman"/>
              <w:sz w:val="24"/>
              <w:szCs w:val="24"/>
            </w:rPr>
            <w:t xml:space="preserve"> to adjust their agronomic practices to achieve optimum yields. These samples were classified “high priority” to the labs. Letters were sent to the grower and supplier as soon as the results were received. The turnaround times for each lab have been recorded and will be illustrated in the graphs later in this report.</w:t>
          </w:r>
        </w:p>
        <w:p w:rsidR="001F1F49" w:rsidRDefault="00F9725A" w:rsidP="00502282">
          <w:pPr>
            <w:spacing w:line="240" w:lineRule="auto"/>
            <w:rPr>
              <w:rFonts w:cs="Times New Roman"/>
              <w:sz w:val="24"/>
              <w:szCs w:val="24"/>
            </w:rPr>
          </w:pPr>
          <w:r w:rsidRPr="008F2761">
            <w:rPr>
              <w:rFonts w:cs="Times New Roman"/>
              <w:sz w:val="24"/>
              <w:szCs w:val="24"/>
            </w:rPr>
            <w:t>Our mission statement for this program is to serve, promote and protect the Agricultural Producers, and Retail Consumers of the State of Maine by continuously working to improve the quality of fertilizer products sold in Maine.</w:t>
          </w:r>
        </w:p>
        <w:p w:rsidR="001F1F49" w:rsidRDefault="001F1F49" w:rsidP="00502282">
          <w:pPr>
            <w:spacing w:line="240" w:lineRule="auto"/>
            <w:rPr>
              <w:rFonts w:cs="Times New Roman"/>
              <w:sz w:val="24"/>
              <w:szCs w:val="24"/>
            </w:rPr>
          </w:pPr>
        </w:p>
        <w:p w:rsidR="001F1F49" w:rsidRDefault="001F1F49" w:rsidP="00502282">
          <w:pPr>
            <w:spacing w:line="240" w:lineRule="auto"/>
            <w:rPr>
              <w:rFonts w:cs="Times New Roman"/>
              <w:sz w:val="24"/>
              <w:szCs w:val="24"/>
            </w:rPr>
          </w:pPr>
        </w:p>
        <w:p w:rsidR="001F1F49" w:rsidRDefault="001F1F49" w:rsidP="00502282">
          <w:pPr>
            <w:spacing w:line="240" w:lineRule="auto"/>
            <w:rPr>
              <w:rFonts w:cs="Times New Roman"/>
              <w:sz w:val="24"/>
              <w:szCs w:val="24"/>
            </w:rPr>
          </w:pPr>
        </w:p>
        <w:p w:rsidR="001F1F49" w:rsidRDefault="001F1F49" w:rsidP="00502282">
          <w:pPr>
            <w:spacing w:line="240" w:lineRule="auto"/>
            <w:rPr>
              <w:rFonts w:cs="Times New Roman"/>
              <w:sz w:val="24"/>
              <w:szCs w:val="24"/>
            </w:rPr>
          </w:pPr>
        </w:p>
        <w:p w:rsidR="001F1F49" w:rsidRDefault="001F1F49" w:rsidP="00502282">
          <w:pPr>
            <w:spacing w:line="240" w:lineRule="auto"/>
            <w:rPr>
              <w:rFonts w:cs="Times New Roman"/>
              <w:sz w:val="24"/>
              <w:szCs w:val="24"/>
            </w:rPr>
          </w:pPr>
        </w:p>
        <w:p w:rsidR="001F1F49" w:rsidRDefault="001F1F49" w:rsidP="00502282">
          <w:pPr>
            <w:spacing w:line="240" w:lineRule="auto"/>
            <w:rPr>
              <w:rFonts w:cs="Times New Roman"/>
              <w:sz w:val="24"/>
              <w:szCs w:val="24"/>
            </w:rPr>
          </w:pPr>
        </w:p>
        <w:p w:rsidR="001F1F49" w:rsidRDefault="001F1F49" w:rsidP="00502282">
          <w:pPr>
            <w:spacing w:line="240" w:lineRule="auto"/>
            <w:rPr>
              <w:rFonts w:cs="Times New Roman"/>
              <w:sz w:val="24"/>
              <w:szCs w:val="24"/>
            </w:rPr>
          </w:pPr>
        </w:p>
        <w:p w:rsidR="001F1F49" w:rsidRDefault="001F1F49" w:rsidP="00502282">
          <w:pPr>
            <w:spacing w:line="240" w:lineRule="auto"/>
            <w:rPr>
              <w:rFonts w:cs="Times New Roman"/>
              <w:sz w:val="24"/>
              <w:szCs w:val="24"/>
            </w:rPr>
          </w:pPr>
        </w:p>
        <w:p w:rsidR="00C01804" w:rsidRDefault="00C01804" w:rsidP="001F1F49">
          <w:pPr>
            <w:spacing w:line="240" w:lineRule="auto"/>
            <w:jc w:val="center"/>
            <w:rPr>
              <w:rFonts w:cs="Times New Roman"/>
              <w:b/>
              <w:sz w:val="32"/>
              <w:szCs w:val="32"/>
              <w:u w:val="single"/>
            </w:rPr>
          </w:pPr>
        </w:p>
        <w:p w:rsidR="00C01804" w:rsidRDefault="00C01804" w:rsidP="001F1F49">
          <w:pPr>
            <w:spacing w:line="240" w:lineRule="auto"/>
            <w:jc w:val="center"/>
            <w:rPr>
              <w:rFonts w:cs="Times New Roman"/>
              <w:b/>
              <w:sz w:val="32"/>
              <w:szCs w:val="32"/>
              <w:u w:val="single"/>
            </w:rPr>
          </w:pPr>
        </w:p>
        <w:p w:rsidR="001F1F49" w:rsidRPr="008C1039" w:rsidRDefault="001F1F49" w:rsidP="001F1F49">
          <w:pPr>
            <w:spacing w:line="240" w:lineRule="auto"/>
            <w:jc w:val="center"/>
            <w:rPr>
              <w:rFonts w:cs="Times New Roman"/>
              <w:b/>
              <w:sz w:val="32"/>
              <w:szCs w:val="32"/>
              <w:u w:val="single"/>
            </w:rPr>
          </w:pPr>
          <w:r w:rsidRPr="008C1039">
            <w:rPr>
              <w:rFonts w:cs="Times New Roman"/>
              <w:b/>
              <w:sz w:val="32"/>
              <w:szCs w:val="32"/>
              <w:u w:val="single"/>
            </w:rPr>
            <w:t>SAMPLING DATA</w:t>
          </w:r>
        </w:p>
        <w:p w:rsidR="00274B5C" w:rsidRDefault="001B60FF" w:rsidP="001F1F49">
          <w:pPr>
            <w:spacing w:line="240" w:lineRule="auto"/>
            <w:jc w:val="center"/>
          </w:pPr>
          <w:r w:rsidRPr="00274B5C">
            <w:rPr>
              <w:noProof/>
            </w:rPr>
            <w:drawing>
              <wp:inline distT="0" distB="0" distL="0" distR="0" wp14:anchorId="0681AD9A" wp14:editId="37EDA225">
                <wp:extent cx="5964865" cy="2955851"/>
                <wp:effectExtent l="38100" t="57150" r="55245" b="5461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A54EC" w:rsidRDefault="00C31273" w:rsidP="001F1F49">
          <w:pPr>
            <w:spacing w:line="240" w:lineRule="auto"/>
            <w:jc w:val="center"/>
          </w:pPr>
          <w:r>
            <w:rPr>
              <w:noProof/>
            </w:rPr>
            <w:drawing>
              <wp:inline distT="0" distB="0" distL="0" distR="0" wp14:anchorId="32723DEF" wp14:editId="63BEC127">
                <wp:extent cx="5943600" cy="4036060"/>
                <wp:effectExtent l="38100" t="57150" r="38100" b="406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51C11" w:rsidRDefault="00C51C11" w:rsidP="001F1F49">
          <w:pPr>
            <w:spacing w:line="240" w:lineRule="auto"/>
            <w:jc w:val="center"/>
          </w:pPr>
        </w:p>
        <w:p w:rsidR="00C51C11" w:rsidRDefault="00C51C11" w:rsidP="001F1F49">
          <w:pPr>
            <w:spacing w:line="240" w:lineRule="auto"/>
            <w:jc w:val="center"/>
          </w:pPr>
          <w:r w:rsidRPr="00853840">
            <w:rPr>
              <w:noProof/>
              <w:u w:val="single"/>
            </w:rPr>
            <w:drawing>
              <wp:inline distT="0" distB="0" distL="0" distR="0" wp14:anchorId="2804F260" wp14:editId="60D3145B">
                <wp:extent cx="5741581" cy="3636335"/>
                <wp:effectExtent l="57150" t="57150" r="50165" b="406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74B5C" w:rsidRDefault="00274B5C" w:rsidP="001F1F49">
          <w:pPr>
            <w:spacing w:line="240" w:lineRule="auto"/>
            <w:jc w:val="center"/>
          </w:pPr>
          <w:r>
            <w:rPr>
              <w:noProof/>
            </w:rPr>
            <w:drawing>
              <wp:inline distT="0" distB="0" distL="0" distR="0" wp14:anchorId="1CC0CBD7" wp14:editId="2B58B659">
                <wp:extent cx="5730948" cy="3774558"/>
                <wp:effectExtent l="57150" t="38100" r="41275" b="5461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7756F" w:rsidRDefault="0047756F" w:rsidP="001F1F49">
          <w:pPr>
            <w:spacing w:line="240" w:lineRule="auto"/>
            <w:jc w:val="center"/>
          </w:pPr>
        </w:p>
        <w:p w:rsidR="0047756F" w:rsidRDefault="00883693" w:rsidP="00BB39AD">
          <w:pPr>
            <w:spacing w:line="240" w:lineRule="auto"/>
            <w:ind w:left="-576"/>
            <w:jc w:val="center"/>
          </w:pPr>
          <w:r>
            <w:rPr>
              <w:noProof/>
            </w:rPr>
            <w:drawing>
              <wp:inline distT="0" distB="0" distL="0" distR="0" wp14:anchorId="05583380" wp14:editId="23BC6DB3">
                <wp:extent cx="6485861" cy="3753294"/>
                <wp:effectExtent l="38100" t="57150" r="48895" b="381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47920" w:rsidRDefault="00924E18" w:rsidP="00BB39AD">
          <w:pPr>
            <w:spacing w:line="240" w:lineRule="auto"/>
            <w:ind w:left="-576"/>
            <w:jc w:val="center"/>
          </w:pPr>
          <w:r>
            <w:rPr>
              <w:noProof/>
            </w:rPr>
            <w:drawing>
              <wp:inline distT="0" distB="0" distL="0" distR="0" wp14:anchorId="0EC92859" wp14:editId="561D9A46">
                <wp:extent cx="6517758" cy="3487479"/>
                <wp:effectExtent l="57150" t="57150" r="54610" b="5588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815B5" w:rsidRDefault="003815B5" w:rsidP="00BB39AD">
          <w:pPr>
            <w:spacing w:line="240" w:lineRule="auto"/>
            <w:ind w:left="-576"/>
            <w:jc w:val="center"/>
          </w:pPr>
        </w:p>
        <w:p w:rsidR="003815B5" w:rsidRDefault="003815B5" w:rsidP="00BB39AD">
          <w:pPr>
            <w:spacing w:line="240" w:lineRule="auto"/>
            <w:ind w:left="-576"/>
            <w:jc w:val="center"/>
            <w:rPr>
              <w:b/>
              <w:sz w:val="32"/>
              <w:szCs w:val="32"/>
              <w:u w:val="single"/>
            </w:rPr>
          </w:pPr>
          <w:r>
            <w:rPr>
              <w:b/>
              <w:sz w:val="32"/>
              <w:szCs w:val="32"/>
              <w:u w:val="single"/>
            </w:rPr>
            <w:t>LAB TURN AROUND TIMES &amp; NOTIFICATION TIMES</w:t>
          </w:r>
        </w:p>
        <w:p w:rsidR="003815B5" w:rsidRDefault="003815B5" w:rsidP="00BB39AD">
          <w:pPr>
            <w:spacing w:line="240" w:lineRule="auto"/>
            <w:ind w:left="-576"/>
            <w:jc w:val="center"/>
            <w:rPr>
              <w:b/>
              <w:sz w:val="32"/>
              <w:szCs w:val="32"/>
              <w:u w:val="single"/>
            </w:rPr>
          </w:pPr>
          <w:r>
            <w:rPr>
              <w:noProof/>
            </w:rPr>
            <w:drawing>
              <wp:inline distT="0" distB="0" distL="0" distR="0" wp14:anchorId="48B45542" wp14:editId="4937990C">
                <wp:extent cx="6475228" cy="2743200"/>
                <wp:effectExtent l="57150" t="57150" r="40005" b="381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74564" w:rsidRDefault="00974564" w:rsidP="00BB39AD">
          <w:pPr>
            <w:spacing w:line="240" w:lineRule="auto"/>
            <w:ind w:left="-576"/>
            <w:jc w:val="center"/>
            <w:rPr>
              <w:b/>
              <w:sz w:val="32"/>
              <w:szCs w:val="32"/>
              <w:u w:val="single"/>
            </w:rPr>
          </w:pPr>
        </w:p>
        <w:p w:rsidR="003815B5" w:rsidRDefault="003815B5" w:rsidP="00BB39AD">
          <w:pPr>
            <w:spacing w:line="240" w:lineRule="auto"/>
            <w:ind w:left="-576"/>
            <w:jc w:val="center"/>
            <w:rPr>
              <w:b/>
              <w:sz w:val="32"/>
              <w:szCs w:val="32"/>
              <w:u w:val="single"/>
            </w:rPr>
          </w:pPr>
          <w:r>
            <w:rPr>
              <w:noProof/>
            </w:rPr>
            <w:drawing>
              <wp:inline distT="0" distB="0" distL="0" distR="0" wp14:anchorId="74F7338E" wp14:editId="4A81B264">
                <wp:extent cx="6485861" cy="2743200"/>
                <wp:effectExtent l="38100" t="57150" r="48895" b="3810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5611B" w:rsidRDefault="0095611B" w:rsidP="00BB39AD">
          <w:pPr>
            <w:spacing w:line="240" w:lineRule="auto"/>
            <w:ind w:left="-576"/>
            <w:jc w:val="center"/>
            <w:rPr>
              <w:b/>
              <w:sz w:val="32"/>
              <w:szCs w:val="32"/>
              <w:u w:val="single"/>
            </w:rPr>
          </w:pPr>
        </w:p>
        <w:p w:rsidR="00974564" w:rsidRDefault="0095611B" w:rsidP="0095611B">
          <w:pPr>
            <w:spacing w:line="240" w:lineRule="auto"/>
            <w:ind w:left="-576"/>
            <w:rPr>
              <w:b/>
              <w:sz w:val="24"/>
              <w:szCs w:val="24"/>
            </w:rPr>
          </w:pPr>
          <w:r>
            <w:rPr>
              <w:b/>
              <w:sz w:val="24"/>
              <w:szCs w:val="24"/>
            </w:rPr>
            <w:t>Note: Sample results were posted on the Department web page the same day received after calculations were completed to determine if the sample</w:t>
          </w:r>
          <w:r w:rsidR="00473127">
            <w:rPr>
              <w:b/>
              <w:sz w:val="24"/>
              <w:szCs w:val="24"/>
            </w:rPr>
            <w:t>s</w:t>
          </w:r>
          <w:r>
            <w:rPr>
              <w:b/>
              <w:sz w:val="24"/>
              <w:szCs w:val="24"/>
            </w:rPr>
            <w:t xml:space="preserve"> “Passed or Failed”</w:t>
          </w:r>
          <w:r w:rsidR="00974564">
            <w:rPr>
              <w:b/>
              <w:sz w:val="24"/>
              <w:szCs w:val="24"/>
            </w:rPr>
            <w:t>.</w:t>
          </w:r>
        </w:p>
        <w:p w:rsidR="009D7B8D" w:rsidRDefault="009D7B8D" w:rsidP="0095611B">
          <w:pPr>
            <w:spacing w:line="240" w:lineRule="auto"/>
            <w:ind w:left="-576"/>
            <w:rPr>
              <w:b/>
              <w:sz w:val="24"/>
              <w:szCs w:val="24"/>
            </w:rPr>
          </w:pPr>
        </w:p>
        <w:p w:rsidR="00752D89" w:rsidRDefault="00752D89" w:rsidP="0095611B">
          <w:pPr>
            <w:spacing w:line="240" w:lineRule="auto"/>
            <w:ind w:left="-576"/>
            <w:rPr>
              <w:b/>
              <w:sz w:val="24"/>
              <w:szCs w:val="24"/>
            </w:rPr>
          </w:pPr>
        </w:p>
        <w:p w:rsidR="00752D89" w:rsidRDefault="00752D89" w:rsidP="00752D89">
          <w:pPr>
            <w:spacing w:line="240" w:lineRule="auto"/>
            <w:ind w:left="-576"/>
            <w:jc w:val="center"/>
            <w:rPr>
              <w:b/>
              <w:sz w:val="32"/>
              <w:szCs w:val="32"/>
              <w:u w:val="single"/>
            </w:rPr>
          </w:pPr>
          <w:r>
            <w:rPr>
              <w:b/>
              <w:sz w:val="32"/>
              <w:szCs w:val="32"/>
              <w:u w:val="single"/>
            </w:rPr>
            <w:t>FERTILIZER TONNAGE DATA</w:t>
          </w:r>
        </w:p>
        <w:p w:rsidR="00752D89" w:rsidRDefault="00752D89" w:rsidP="00752D89">
          <w:pPr>
            <w:spacing w:line="240" w:lineRule="auto"/>
            <w:ind w:left="-576"/>
            <w:jc w:val="center"/>
            <w:rPr>
              <w:b/>
              <w:sz w:val="32"/>
              <w:szCs w:val="32"/>
              <w:u w:val="single"/>
            </w:rPr>
          </w:pPr>
          <w:r>
            <w:rPr>
              <w:noProof/>
            </w:rPr>
            <w:drawing>
              <wp:inline distT="0" distB="0" distL="0" distR="0" wp14:anchorId="5EC828DC" wp14:editId="3FD478A2">
                <wp:extent cx="6422065" cy="3381153"/>
                <wp:effectExtent l="38100" t="57150" r="55245" b="4826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52D89" w:rsidRDefault="00752D89" w:rsidP="00752D89">
          <w:pPr>
            <w:spacing w:line="240" w:lineRule="auto"/>
            <w:ind w:left="-576"/>
            <w:jc w:val="center"/>
            <w:rPr>
              <w:b/>
              <w:sz w:val="32"/>
              <w:szCs w:val="32"/>
              <w:u w:val="single"/>
            </w:rPr>
          </w:pPr>
        </w:p>
        <w:p w:rsidR="002C395C" w:rsidRPr="00AE4506" w:rsidRDefault="00752D89" w:rsidP="00AE4506">
          <w:pPr>
            <w:spacing w:line="240" w:lineRule="auto"/>
            <w:ind w:left="-576"/>
            <w:jc w:val="center"/>
            <w:rPr>
              <w:b/>
              <w:sz w:val="32"/>
              <w:szCs w:val="32"/>
              <w:u w:val="single"/>
            </w:rPr>
          </w:pPr>
          <w:r>
            <w:rPr>
              <w:noProof/>
            </w:rPr>
            <w:drawing>
              <wp:inline distT="0" distB="0" distL="0" distR="0" wp14:anchorId="3AC758B3" wp14:editId="0CA28EC4">
                <wp:extent cx="6422065" cy="3157870"/>
                <wp:effectExtent l="38100" t="57150" r="55245" b="4254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51922" w:rsidRDefault="00926D39" w:rsidP="00AE4506">
          <w:pPr>
            <w:spacing w:line="240" w:lineRule="auto"/>
          </w:pPr>
        </w:p>
      </w:sdtContent>
    </w:sdt>
    <w:sectPr w:rsidR="00F51922" w:rsidSect="00F51922">
      <w:headerReference w:type="default" r:id="rId21"/>
      <w:footerReference w:type="default" r:id="rId2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D39" w:rsidRDefault="00926D39" w:rsidP="00752E7B">
      <w:pPr>
        <w:spacing w:after="0" w:line="240" w:lineRule="auto"/>
      </w:pPr>
      <w:r>
        <w:separator/>
      </w:r>
    </w:p>
  </w:endnote>
  <w:endnote w:type="continuationSeparator" w:id="0">
    <w:p w:rsidR="00926D39" w:rsidRDefault="00926D39" w:rsidP="0075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464541"/>
      <w:docPartObj>
        <w:docPartGallery w:val="Page Numbers (Bottom of Page)"/>
        <w:docPartUnique/>
      </w:docPartObj>
    </w:sdtPr>
    <w:sdtEndPr>
      <w:rPr>
        <w:color w:val="808080" w:themeColor="background1" w:themeShade="80"/>
        <w:spacing w:val="60"/>
      </w:rPr>
    </w:sdtEndPr>
    <w:sdtContent>
      <w:p w:rsidR="00752E7B" w:rsidRDefault="00752E7B" w:rsidP="00752E7B">
        <w:pPr>
          <w:pStyle w:val="Footer"/>
          <w:pBdr>
            <w:top w:val="single" w:sz="4" w:space="1" w:color="D9D9D9" w:themeColor="background1" w:themeShade="D9"/>
          </w:pBdr>
          <w:jc w:val="center"/>
          <w:rPr>
            <w:b/>
            <w:bCs/>
          </w:rPr>
        </w:pPr>
        <w:r>
          <w:fldChar w:fldCharType="begin"/>
        </w:r>
        <w:r>
          <w:instrText xml:space="preserve"> PAGE   \* MERGEFORMAT </w:instrText>
        </w:r>
        <w:r>
          <w:fldChar w:fldCharType="separate"/>
        </w:r>
        <w:r w:rsidR="00471914" w:rsidRPr="00471914">
          <w:rPr>
            <w:b/>
            <w:bCs/>
            <w:noProof/>
          </w:rPr>
          <w:t>6</w:t>
        </w:r>
        <w:r>
          <w:rPr>
            <w:b/>
            <w:bCs/>
            <w:noProof/>
          </w:rPr>
          <w:fldChar w:fldCharType="end"/>
        </w:r>
        <w:r>
          <w:rPr>
            <w:b/>
            <w:bCs/>
          </w:rPr>
          <w:t xml:space="preserve"> | </w:t>
        </w:r>
        <w:r>
          <w:rPr>
            <w:color w:val="808080" w:themeColor="background1" w:themeShade="80"/>
            <w:spacing w:val="60"/>
          </w:rPr>
          <w:t>Page</w:t>
        </w:r>
      </w:p>
    </w:sdtContent>
  </w:sdt>
  <w:p w:rsidR="00752E7B" w:rsidRDefault="00752E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D39" w:rsidRDefault="00926D39" w:rsidP="00752E7B">
      <w:pPr>
        <w:spacing w:after="0" w:line="240" w:lineRule="auto"/>
      </w:pPr>
      <w:r>
        <w:separator/>
      </w:r>
    </w:p>
  </w:footnote>
  <w:footnote w:type="continuationSeparator" w:id="0">
    <w:p w:rsidR="00926D39" w:rsidRDefault="00926D39" w:rsidP="00752E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395"/>
      <w:gridCol w:w="1195"/>
    </w:tblGrid>
    <w:tr w:rsidR="00752E7B">
      <w:trPr>
        <w:trHeight w:val="288"/>
      </w:trPr>
      <w:sdt>
        <w:sdtPr>
          <w:rPr>
            <w:rFonts w:asciiTheme="majorHAnsi" w:eastAsiaTheme="majorEastAsia" w:hAnsiTheme="majorHAnsi" w:cstheme="majorBidi"/>
            <w:sz w:val="36"/>
            <w:szCs w:val="36"/>
          </w:rPr>
          <w:alias w:val="Title"/>
          <w:id w:val="77761602"/>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752E7B" w:rsidRDefault="00752E7B" w:rsidP="00752E7B">
              <w:pPr>
                <w:pStyle w:val="Header"/>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rPr>
                <w:t>FERTILIZER PROGRAM SUMMARY REPORT</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dataBinding w:prefixMappings="xmlns:ns0='http://schemas.microsoft.com/office/2006/coverPageProps'" w:xpath="/ns0:CoverPageProperties[1]/ns0:PublishDate[1]" w:storeItemID="{55AF091B-3C7A-41E3-B477-F2FDAA23CFDA}"/>
          <w:date w:fullDate="2015-01-01T00:00:00Z">
            <w:dateFormat w:val="yyyy"/>
            <w:lid w:val="en-US"/>
            <w:storeMappedDataAs w:val="dateTime"/>
            <w:calendar w:val="gregorian"/>
          </w:date>
        </w:sdtPr>
        <w:sdtEndPr/>
        <w:sdtContent>
          <w:tc>
            <w:tcPr>
              <w:tcW w:w="1105" w:type="dxa"/>
            </w:tcPr>
            <w:p w:rsidR="00752E7B" w:rsidRDefault="00752E7B">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2015</w:t>
              </w:r>
            </w:p>
          </w:tc>
        </w:sdtContent>
      </w:sdt>
    </w:tr>
  </w:tbl>
  <w:p w:rsidR="00752E7B" w:rsidRDefault="00752E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7577E"/>
    <w:multiLevelType w:val="hybridMultilevel"/>
    <w:tmpl w:val="69AE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8F7798"/>
    <w:multiLevelType w:val="hybridMultilevel"/>
    <w:tmpl w:val="45D2F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922"/>
    <w:rsid w:val="0001727C"/>
    <w:rsid w:val="00022911"/>
    <w:rsid w:val="00025CA4"/>
    <w:rsid w:val="00042156"/>
    <w:rsid w:val="00052711"/>
    <w:rsid w:val="0008027B"/>
    <w:rsid w:val="00082BC9"/>
    <w:rsid w:val="00086BAA"/>
    <w:rsid w:val="000B235A"/>
    <w:rsid w:val="000F28F1"/>
    <w:rsid w:val="00102004"/>
    <w:rsid w:val="00107FE6"/>
    <w:rsid w:val="00175C62"/>
    <w:rsid w:val="00184077"/>
    <w:rsid w:val="001A54EC"/>
    <w:rsid w:val="001B60FF"/>
    <w:rsid w:val="001F1F49"/>
    <w:rsid w:val="00200C03"/>
    <w:rsid w:val="00214133"/>
    <w:rsid w:val="00221254"/>
    <w:rsid w:val="00230FC3"/>
    <w:rsid w:val="0023559E"/>
    <w:rsid w:val="00237AA2"/>
    <w:rsid w:val="00257C7A"/>
    <w:rsid w:val="00274B5C"/>
    <w:rsid w:val="00282386"/>
    <w:rsid w:val="002C395C"/>
    <w:rsid w:val="002C4B7D"/>
    <w:rsid w:val="002D5B82"/>
    <w:rsid w:val="002E4F86"/>
    <w:rsid w:val="002E7203"/>
    <w:rsid w:val="00347920"/>
    <w:rsid w:val="00350FEE"/>
    <w:rsid w:val="003625D6"/>
    <w:rsid w:val="003815B5"/>
    <w:rsid w:val="003D4396"/>
    <w:rsid w:val="003E20B8"/>
    <w:rsid w:val="0040634F"/>
    <w:rsid w:val="00412955"/>
    <w:rsid w:val="0042198C"/>
    <w:rsid w:val="004377D4"/>
    <w:rsid w:val="00471914"/>
    <w:rsid w:val="00473127"/>
    <w:rsid w:val="0047756F"/>
    <w:rsid w:val="00495BAB"/>
    <w:rsid w:val="004E7D96"/>
    <w:rsid w:val="0050173B"/>
    <w:rsid w:val="00502282"/>
    <w:rsid w:val="005628DA"/>
    <w:rsid w:val="00563DD3"/>
    <w:rsid w:val="00597DB6"/>
    <w:rsid w:val="00607654"/>
    <w:rsid w:val="0064180E"/>
    <w:rsid w:val="00674027"/>
    <w:rsid w:val="006E65D3"/>
    <w:rsid w:val="007105EF"/>
    <w:rsid w:val="00752D89"/>
    <w:rsid w:val="00752E7B"/>
    <w:rsid w:val="00757DBC"/>
    <w:rsid w:val="007B3E86"/>
    <w:rsid w:val="007D0983"/>
    <w:rsid w:val="007F5438"/>
    <w:rsid w:val="0082580B"/>
    <w:rsid w:val="00853840"/>
    <w:rsid w:val="00883693"/>
    <w:rsid w:val="008957C8"/>
    <w:rsid w:val="008C1039"/>
    <w:rsid w:val="008F2761"/>
    <w:rsid w:val="008F5314"/>
    <w:rsid w:val="00921C3B"/>
    <w:rsid w:val="00924E18"/>
    <w:rsid w:val="00926822"/>
    <w:rsid w:val="00926D39"/>
    <w:rsid w:val="00927A19"/>
    <w:rsid w:val="0094755F"/>
    <w:rsid w:val="0095611B"/>
    <w:rsid w:val="00974564"/>
    <w:rsid w:val="009C1408"/>
    <w:rsid w:val="009D7B8D"/>
    <w:rsid w:val="009E492F"/>
    <w:rsid w:val="009F4283"/>
    <w:rsid w:val="00A12B4F"/>
    <w:rsid w:val="00A72B61"/>
    <w:rsid w:val="00AA4191"/>
    <w:rsid w:val="00AE4506"/>
    <w:rsid w:val="00AE668E"/>
    <w:rsid w:val="00AF16B5"/>
    <w:rsid w:val="00B04324"/>
    <w:rsid w:val="00B3069F"/>
    <w:rsid w:val="00B43726"/>
    <w:rsid w:val="00B56167"/>
    <w:rsid w:val="00B66C97"/>
    <w:rsid w:val="00BB39AD"/>
    <w:rsid w:val="00BC1981"/>
    <w:rsid w:val="00C01804"/>
    <w:rsid w:val="00C06AE9"/>
    <w:rsid w:val="00C12A09"/>
    <w:rsid w:val="00C31273"/>
    <w:rsid w:val="00C406E6"/>
    <w:rsid w:val="00C51C11"/>
    <w:rsid w:val="00C55479"/>
    <w:rsid w:val="00C74DE7"/>
    <w:rsid w:val="00C8013B"/>
    <w:rsid w:val="00C836E4"/>
    <w:rsid w:val="00CA3395"/>
    <w:rsid w:val="00CC7B35"/>
    <w:rsid w:val="00CF33A7"/>
    <w:rsid w:val="00D1587A"/>
    <w:rsid w:val="00D52F65"/>
    <w:rsid w:val="00D84590"/>
    <w:rsid w:val="00D9253F"/>
    <w:rsid w:val="00DA3615"/>
    <w:rsid w:val="00DD4DD4"/>
    <w:rsid w:val="00E33A0F"/>
    <w:rsid w:val="00EC5D69"/>
    <w:rsid w:val="00EE7B83"/>
    <w:rsid w:val="00F36992"/>
    <w:rsid w:val="00F506A1"/>
    <w:rsid w:val="00F51922"/>
    <w:rsid w:val="00F63FAD"/>
    <w:rsid w:val="00F8152F"/>
    <w:rsid w:val="00F84DD0"/>
    <w:rsid w:val="00F90534"/>
    <w:rsid w:val="00F9725A"/>
    <w:rsid w:val="00FF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5192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51922"/>
    <w:rPr>
      <w:rFonts w:eastAsiaTheme="minorEastAsia"/>
      <w:lang w:eastAsia="ja-JP"/>
    </w:rPr>
  </w:style>
  <w:style w:type="paragraph" w:styleId="BalloonText">
    <w:name w:val="Balloon Text"/>
    <w:basedOn w:val="Normal"/>
    <w:link w:val="BalloonTextChar"/>
    <w:uiPriority w:val="99"/>
    <w:semiHidden/>
    <w:unhideWhenUsed/>
    <w:rsid w:val="00F51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922"/>
    <w:rPr>
      <w:rFonts w:ascii="Tahoma" w:hAnsi="Tahoma" w:cs="Tahoma"/>
      <w:sz w:val="16"/>
      <w:szCs w:val="16"/>
    </w:rPr>
  </w:style>
  <w:style w:type="table" w:styleId="LightShading">
    <w:name w:val="Light Shading"/>
    <w:basedOn w:val="TableNormal"/>
    <w:uiPriority w:val="60"/>
    <w:rsid w:val="0021413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7B3E86"/>
    <w:pPr>
      <w:spacing w:before="240" w:after="120"/>
    </w:pPr>
    <w:rPr>
      <w:b/>
      <w:bCs/>
      <w:sz w:val="20"/>
      <w:szCs w:val="20"/>
    </w:rPr>
  </w:style>
  <w:style w:type="paragraph" w:styleId="TOC2">
    <w:name w:val="toc 2"/>
    <w:basedOn w:val="Normal"/>
    <w:next w:val="Normal"/>
    <w:autoRedefine/>
    <w:uiPriority w:val="39"/>
    <w:unhideWhenUsed/>
    <w:rsid w:val="007B3E86"/>
    <w:pPr>
      <w:spacing w:before="120" w:after="0"/>
      <w:ind w:left="220"/>
    </w:pPr>
    <w:rPr>
      <w:i/>
      <w:iCs/>
      <w:sz w:val="20"/>
      <w:szCs w:val="20"/>
    </w:rPr>
  </w:style>
  <w:style w:type="paragraph" w:styleId="TOC3">
    <w:name w:val="toc 3"/>
    <w:basedOn w:val="Normal"/>
    <w:next w:val="Normal"/>
    <w:autoRedefine/>
    <w:uiPriority w:val="39"/>
    <w:unhideWhenUsed/>
    <w:rsid w:val="007B3E86"/>
    <w:pPr>
      <w:spacing w:after="0"/>
      <w:ind w:left="440"/>
    </w:pPr>
    <w:rPr>
      <w:sz w:val="20"/>
      <w:szCs w:val="20"/>
    </w:rPr>
  </w:style>
  <w:style w:type="paragraph" w:styleId="TOC4">
    <w:name w:val="toc 4"/>
    <w:basedOn w:val="Normal"/>
    <w:next w:val="Normal"/>
    <w:autoRedefine/>
    <w:uiPriority w:val="39"/>
    <w:unhideWhenUsed/>
    <w:rsid w:val="007B3E86"/>
    <w:pPr>
      <w:spacing w:after="0"/>
      <w:ind w:left="660"/>
    </w:pPr>
    <w:rPr>
      <w:sz w:val="20"/>
      <w:szCs w:val="20"/>
    </w:rPr>
  </w:style>
  <w:style w:type="paragraph" w:styleId="TOC5">
    <w:name w:val="toc 5"/>
    <w:basedOn w:val="Normal"/>
    <w:next w:val="Normal"/>
    <w:autoRedefine/>
    <w:uiPriority w:val="39"/>
    <w:unhideWhenUsed/>
    <w:rsid w:val="007B3E86"/>
    <w:pPr>
      <w:spacing w:after="0"/>
      <w:ind w:left="880"/>
    </w:pPr>
    <w:rPr>
      <w:sz w:val="20"/>
      <w:szCs w:val="20"/>
    </w:rPr>
  </w:style>
  <w:style w:type="paragraph" w:styleId="TOC6">
    <w:name w:val="toc 6"/>
    <w:basedOn w:val="Normal"/>
    <w:next w:val="Normal"/>
    <w:autoRedefine/>
    <w:uiPriority w:val="39"/>
    <w:unhideWhenUsed/>
    <w:rsid w:val="007B3E86"/>
    <w:pPr>
      <w:spacing w:after="0"/>
      <w:ind w:left="1100"/>
    </w:pPr>
    <w:rPr>
      <w:sz w:val="20"/>
      <w:szCs w:val="20"/>
    </w:rPr>
  </w:style>
  <w:style w:type="paragraph" w:styleId="TOC7">
    <w:name w:val="toc 7"/>
    <w:basedOn w:val="Normal"/>
    <w:next w:val="Normal"/>
    <w:autoRedefine/>
    <w:uiPriority w:val="39"/>
    <w:unhideWhenUsed/>
    <w:rsid w:val="007B3E86"/>
    <w:pPr>
      <w:spacing w:after="0"/>
      <w:ind w:left="1320"/>
    </w:pPr>
    <w:rPr>
      <w:sz w:val="20"/>
      <w:szCs w:val="20"/>
    </w:rPr>
  </w:style>
  <w:style w:type="paragraph" w:styleId="TOC8">
    <w:name w:val="toc 8"/>
    <w:basedOn w:val="Normal"/>
    <w:next w:val="Normal"/>
    <w:autoRedefine/>
    <w:uiPriority w:val="39"/>
    <w:unhideWhenUsed/>
    <w:rsid w:val="007B3E86"/>
    <w:pPr>
      <w:spacing w:after="0"/>
      <w:ind w:left="1540"/>
    </w:pPr>
    <w:rPr>
      <w:sz w:val="20"/>
      <w:szCs w:val="20"/>
    </w:rPr>
  </w:style>
  <w:style w:type="paragraph" w:styleId="TOC9">
    <w:name w:val="toc 9"/>
    <w:basedOn w:val="Normal"/>
    <w:next w:val="Normal"/>
    <w:autoRedefine/>
    <w:uiPriority w:val="39"/>
    <w:unhideWhenUsed/>
    <w:rsid w:val="007B3E86"/>
    <w:pPr>
      <w:spacing w:after="0"/>
      <w:ind w:left="1760"/>
    </w:pPr>
    <w:rPr>
      <w:sz w:val="20"/>
      <w:szCs w:val="20"/>
    </w:rPr>
  </w:style>
  <w:style w:type="paragraph" w:styleId="Header">
    <w:name w:val="header"/>
    <w:basedOn w:val="Normal"/>
    <w:link w:val="HeaderChar"/>
    <w:uiPriority w:val="99"/>
    <w:unhideWhenUsed/>
    <w:rsid w:val="00752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E7B"/>
  </w:style>
  <w:style w:type="paragraph" w:styleId="Footer">
    <w:name w:val="footer"/>
    <w:basedOn w:val="Normal"/>
    <w:link w:val="FooterChar"/>
    <w:uiPriority w:val="99"/>
    <w:unhideWhenUsed/>
    <w:rsid w:val="00752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E7B"/>
  </w:style>
  <w:style w:type="paragraph" w:styleId="ListParagraph">
    <w:name w:val="List Paragraph"/>
    <w:basedOn w:val="Normal"/>
    <w:uiPriority w:val="34"/>
    <w:qFormat/>
    <w:rsid w:val="007105EF"/>
    <w:pPr>
      <w:ind w:left="720"/>
      <w:contextualSpacing/>
    </w:pPr>
  </w:style>
  <w:style w:type="table" w:styleId="TableGrid">
    <w:name w:val="Table Grid"/>
    <w:basedOn w:val="TableNormal"/>
    <w:uiPriority w:val="59"/>
    <w:rsid w:val="00347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45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5192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51922"/>
    <w:rPr>
      <w:rFonts w:eastAsiaTheme="minorEastAsia"/>
      <w:lang w:eastAsia="ja-JP"/>
    </w:rPr>
  </w:style>
  <w:style w:type="paragraph" w:styleId="BalloonText">
    <w:name w:val="Balloon Text"/>
    <w:basedOn w:val="Normal"/>
    <w:link w:val="BalloonTextChar"/>
    <w:uiPriority w:val="99"/>
    <w:semiHidden/>
    <w:unhideWhenUsed/>
    <w:rsid w:val="00F51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922"/>
    <w:rPr>
      <w:rFonts w:ascii="Tahoma" w:hAnsi="Tahoma" w:cs="Tahoma"/>
      <w:sz w:val="16"/>
      <w:szCs w:val="16"/>
    </w:rPr>
  </w:style>
  <w:style w:type="table" w:styleId="LightShading">
    <w:name w:val="Light Shading"/>
    <w:basedOn w:val="TableNormal"/>
    <w:uiPriority w:val="60"/>
    <w:rsid w:val="0021413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7B3E86"/>
    <w:pPr>
      <w:spacing w:before="240" w:after="120"/>
    </w:pPr>
    <w:rPr>
      <w:b/>
      <w:bCs/>
      <w:sz w:val="20"/>
      <w:szCs w:val="20"/>
    </w:rPr>
  </w:style>
  <w:style w:type="paragraph" w:styleId="TOC2">
    <w:name w:val="toc 2"/>
    <w:basedOn w:val="Normal"/>
    <w:next w:val="Normal"/>
    <w:autoRedefine/>
    <w:uiPriority w:val="39"/>
    <w:unhideWhenUsed/>
    <w:rsid w:val="007B3E86"/>
    <w:pPr>
      <w:spacing w:before="120" w:after="0"/>
      <w:ind w:left="220"/>
    </w:pPr>
    <w:rPr>
      <w:i/>
      <w:iCs/>
      <w:sz w:val="20"/>
      <w:szCs w:val="20"/>
    </w:rPr>
  </w:style>
  <w:style w:type="paragraph" w:styleId="TOC3">
    <w:name w:val="toc 3"/>
    <w:basedOn w:val="Normal"/>
    <w:next w:val="Normal"/>
    <w:autoRedefine/>
    <w:uiPriority w:val="39"/>
    <w:unhideWhenUsed/>
    <w:rsid w:val="007B3E86"/>
    <w:pPr>
      <w:spacing w:after="0"/>
      <w:ind w:left="440"/>
    </w:pPr>
    <w:rPr>
      <w:sz w:val="20"/>
      <w:szCs w:val="20"/>
    </w:rPr>
  </w:style>
  <w:style w:type="paragraph" w:styleId="TOC4">
    <w:name w:val="toc 4"/>
    <w:basedOn w:val="Normal"/>
    <w:next w:val="Normal"/>
    <w:autoRedefine/>
    <w:uiPriority w:val="39"/>
    <w:unhideWhenUsed/>
    <w:rsid w:val="007B3E86"/>
    <w:pPr>
      <w:spacing w:after="0"/>
      <w:ind w:left="660"/>
    </w:pPr>
    <w:rPr>
      <w:sz w:val="20"/>
      <w:szCs w:val="20"/>
    </w:rPr>
  </w:style>
  <w:style w:type="paragraph" w:styleId="TOC5">
    <w:name w:val="toc 5"/>
    <w:basedOn w:val="Normal"/>
    <w:next w:val="Normal"/>
    <w:autoRedefine/>
    <w:uiPriority w:val="39"/>
    <w:unhideWhenUsed/>
    <w:rsid w:val="007B3E86"/>
    <w:pPr>
      <w:spacing w:after="0"/>
      <w:ind w:left="880"/>
    </w:pPr>
    <w:rPr>
      <w:sz w:val="20"/>
      <w:szCs w:val="20"/>
    </w:rPr>
  </w:style>
  <w:style w:type="paragraph" w:styleId="TOC6">
    <w:name w:val="toc 6"/>
    <w:basedOn w:val="Normal"/>
    <w:next w:val="Normal"/>
    <w:autoRedefine/>
    <w:uiPriority w:val="39"/>
    <w:unhideWhenUsed/>
    <w:rsid w:val="007B3E86"/>
    <w:pPr>
      <w:spacing w:after="0"/>
      <w:ind w:left="1100"/>
    </w:pPr>
    <w:rPr>
      <w:sz w:val="20"/>
      <w:szCs w:val="20"/>
    </w:rPr>
  </w:style>
  <w:style w:type="paragraph" w:styleId="TOC7">
    <w:name w:val="toc 7"/>
    <w:basedOn w:val="Normal"/>
    <w:next w:val="Normal"/>
    <w:autoRedefine/>
    <w:uiPriority w:val="39"/>
    <w:unhideWhenUsed/>
    <w:rsid w:val="007B3E86"/>
    <w:pPr>
      <w:spacing w:after="0"/>
      <w:ind w:left="1320"/>
    </w:pPr>
    <w:rPr>
      <w:sz w:val="20"/>
      <w:szCs w:val="20"/>
    </w:rPr>
  </w:style>
  <w:style w:type="paragraph" w:styleId="TOC8">
    <w:name w:val="toc 8"/>
    <w:basedOn w:val="Normal"/>
    <w:next w:val="Normal"/>
    <w:autoRedefine/>
    <w:uiPriority w:val="39"/>
    <w:unhideWhenUsed/>
    <w:rsid w:val="007B3E86"/>
    <w:pPr>
      <w:spacing w:after="0"/>
      <w:ind w:left="1540"/>
    </w:pPr>
    <w:rPr>
      <w:sz w:val="20"/>
      <w:szCs w:val="20"/>
    </w:rPr>
  </w:style>
  <w:style w:type="paragraph" w:styleId="TOC9">
    <w:name w:val="toc 9"/>
    <w:basedOn w:val="Normal"/>
    <w:next w:val="Normal"/>
    <w:autoRedefine/>
    <w:uiPriority w:val="39"/>
    <w:unhideWhenUsed/>
    <w:rsid w:val="007B3E86"/>
    <w:pPr>
      <w:spacing w:after="0"/>
      <w:ind w:left="1760"/>
    </w:pPr>
    <w:rPr>
      <w:sz w:val="20"/>
      <w:szCs w:val="20"/>
    </w:rPr>
  </w:style>
  <w:style w:type="paragraph" w:styleId="Header">
    <w:name w:val="header"/>
    <w:basedOn w:val="Normal"/>
    <w:link w:val="HeaderChar"/>
    <w:uiPriority w:val="99"/>
    <w:unhideWhenUsed/>
    <w:rsid w:val="00752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E7B"/>
  </w:style>
  <w:style w:type="paragraph" w:styleId="Footer">
    <w:name w:val="footer"/>
    <w:basedOn w:val="Normal"/>
    <w:link w:val="FooterChar"/>
    <w:uiPriority w:val="99"/>
    <w:unhideWhenUsed/>
    <w:rsid w:val="00752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E7B"/>
  </w:style>
  <w:style w:type="paragraph" w:styleId="ListParagraph">
    <w:name w:val="List Paragraph"/>
    <w:basedOn w:val="Normal"/>
    <w:uiPriority w:val="34"/>
    <w:qFormat/>
    <w:rsid w:val="007105EF"/>
    <w:pPr>
      <w:ind w:left="720"/>
      <w:contextualSpacing/>
    </w:pPr>
  </w:style>
  <w:style w:type="table" w:styleId="TableGrid">
    <w:name w:val="Table Grid"/>
    <w:basedOn w:val="TableNormal"/>
    <w:uiPriority w:val="59"/>
    <w:rsid w:val="00347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45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548911">
      <w:bodyDiv w:val="1"/>
      <w:marLeft w:val="0"/>
      <w:marRight w:val="0"/>
      <w:marTop w:val="0"/>
      <w:marBottom w:val="0"/>
      <w:divBdr>
        <w:top w:val="none" w:sz="0" w:space="0" w:color="auto"/>
        <w:left w:val="none" w:sz="0" w:space="0" w:color="auto"/>
        <w:bottom w:val="none" w:sz="0" w:space="0" w:color="auto"/>
        <w:right w:val="none" w:sz="0" w:space="0" w:color="auto"/>
      </w:divBdr>
    </w:div>
    <w:div w:id="615331347">
      <w:bodyDiv w:val="1"/>
      <w:marLeft w:val="0"/>
      <w:marRight w:val="0"/>
      <w:marTop w:val="0"/>
      <w:marBottom w:val="0"/>
      <w:divBdr>
        <w:top w:val="none" w:sz="0" w:space="0" w:color="auto"/>
        <w:left w:val="none" w:sz="0" w:space="0" w:color="auto"/>
        <w:bottom w:val="none" w:sz="0" w:space="0" w:color="auto"/>
        <w:right w:val="none" w:sz="0" w:space="0" w:color="auto"/>
      </w:divBdr>
    </w:div>
    <w:div w:id="805859899">
      <w:bodyDiv w:val="1"/>
      <w:marLeft w:val="0"/>
      <w:marRight w:val="0"/>
      <w:marTop w:val="0"/>
      <w:marBottom w:val="0"/>
      <w:divBdr>
        <w:top w:val="none" w:sz="0" w:space="0" w:color="auto"/>
        <w:left w:val="none" w:sz="0" w:space="0" w:color="auto"/>
        <w:bottom w:val="none" w:sz="0" w:space="0" w:color="auto"/>
        <w:right w:val="none" w:sz="0" w:space="0" w:color="auto"/>
      </w:divBdr>
    </w:div>
    <w:div w:id="1169179781">
      <w:bodyDiv w:val="1"/>
      <w:marLeft w:val="0"/>
      <w:marRight w:val="0"/>
      <w:marTop w:val="0"/>
      <w:marBottom w:val="0"/>
      <w:divBdr>
        <w:top w:val="none" w:sz="0" w:space="0" w:color="auto"/>
        <w:left w:val="none" w:sz="0" w:space="0" w:color="auto"/>
        <w:bottom w:val="none" w:sz="0" w:space="0" w:color="auto"/>
        <w:right w:val="none" w:sz="0" w:space="0" w:color="auto"/>
      </w:divBdr>
    </w:div>
    <w:div w:id="140125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chart" Target="charts/chart5.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chart" Target="charts/chart9.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4.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ichael.crush\Desktop\2015%20summary%20report\2015%20test%20chart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michael.crush\Desktop\2015%20summary%20report\2015%20test%20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ichael.crush\Desktop\2015%20summary%20report\2015%20test%20char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ichael.crush\Desktop\2015%20summary%20report\2015%20test%20char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ichael.crush\Desktop\2015%20summary%20report\2015%20test%20char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ichael.crush\Desktop\2015%20summary%20report\2015%20test%20char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ichael.crush\Desktop\2015%20summary%20report\2015%20test%20chart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ichael.crush\Desktop\2015%20summary%20report\High%20priority%20Turn%20around%20Tim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ichael.crush\Desktop\2015%20summary%20report\High%20priority%20Turn%20around%20Time.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michael.crush\Desktop\2015%20summary%20report\2015%20test%20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a:t> </a:t>
            </a:r>
            <a:r>
              <a:rPr lang="en-US" sz="1800" b="1" i="0" baseline="0">
                <a:effectLst/>
              </a:rPr>
              <a:t>History of All Sampling Activity 2011-2015</a:t>
            </a:r>
            <a:endParaRPr lang="en-US">
              <a:effectLst/>
            </a:endParaRPr>
          </a:p>
        </c:rich>
      </c:tx>
      <c:overlay val="0"/>
    </c:title>
    <c:autoTitleDeleted val="0"/>
    <c:plotArea>
      <c:layout>
        <c:manualLayout>
          <c:layoutTarget val="inner"/>
          <c:xMode val="edge"/>
          <c:yMode val="edge"/>
          <c:x val="0.20832020997375328"/>
          <c:y val="0.17581036745406825"/>
          <c:w val="0.79167979002624667"/>
          <c:h val="0.65771617089530476"/>
        </c:manualLayout>
      </c:layout>
      <c:barChart>
        <c:barDir val="col"/>
        <c:grouping val="clustered"/>
        <c:varyColors val="0"/>
        <c:ser>
          <c:idx val="0"/>
          <c:order val="0"/>
          <c:tx>
            <c:strRef>
              <c:f>'Total Sample Charts'!$B$5</c:f>
              <c:strCache>
                <c:ptCount val="1"/>
                <c:pt idx="0">
                  <c:v> # OF SAMPLES</c:v>
                </c:pt>
              </c:strCache>
            </c:strRef>
          </c:tx>
          <c:invertIfNegative val="0"/>
          <c:cat>
            <c:numRef>
              <c:f>'Total Sample Charts'!$C$4:$G$4</c:f>
              <c:numCache>
                <c:formatCode>General</c:formatCode>
                <c:ptCount val="5"/>
                <c:pt idx="0">
                  <c:v>2011</c:v>
                </c:pt>
                <c:pt idx="1">
                  <c:v>2012</c:v>
                </c:pt>
                <c:pt idx="2">
                  <c:v>2013</c:v>
                </c:pt>
                <c:pt idx="3">
                  <c:v>2014</c:v>
                </c:pt>
                <c:pt idx="4">
                  <c:v>2015</c:v>
                </c:pt>
              </c:numCache>
            </c:numRef>
          </c:cat>
          <c:val>
            <c:numRef>
              <c:f>'Total Sample Charts'!$C$5:$G$5</c:f>
              <c:numCache>
                <c:formatCode>General</c:formatCode>
                <c:ptCount val="5"/>
                <c:pt idx="0">
                  <c:v>49</c:v>
                </c:pt>
                <c:pt idx="1">
                  <c:v>69</c:v>
                </c:pt>
                <c:pt idx="2">
                  <c:v>148</c:v>
                </c:pt>
                <c:pt idx="3">
                  <c:v>153</c:v>
                </c:pt>
                <c:pt idx="4">
                  <c:v>315</c:v>
                </c:pt>
              </c:numCache>
            </c:numRef>
          </c:val>
        </c:ser>
        <c:dLbls>
          <c:dLblPos val="outEnd"/>
          <c:showLegendKey val="0"/>
          <c:showVal val="1"/>
          <c:showCatName val="0"/>
          <c:showSerName val="0"/>
          <c:showPercent val="0"/>
          <c:showBubbleSize val="0"/>
        </c:dLbls>
        <c:gapWidth val="75"/>
        <c:axId val="115213440"/>
        <c:axId val="135779072"/>
      </c:barChart>
      <c:catAx>
        <c:axId val="115213440"/>
        <c:scaling>
          <c:orientation val="minMax"/>
        </c:scaling>
        <c:delete val="0"/>
        <c:axPos val="b"/>
        <c:numFmt formatCode="General" sourceLinked="1"/>
        <c:majorTickMark val="none"/>
        <c:minorTickMark val="none"/>
        <c:tickLblPos val="nextTo"/>
        <c:crossAx val="135779072"/>
        <c:crosses val="autoZero"/>
        <c:auto val="1"/>
        <c:lblAlgn val="ctr"/>
        <c:lblOffset val="100"/>
        <c:noMultiLvlLbl val="0"/>
      </c:catAx>
      <c:valAx>
        <c:axId val="135779072"/>
        <c:scaling>
          <c:orientation val="minMax"/>
        </c:scaling>
        <c:delete val="1"/>
        <c:axPos val="l"/>
        <c:majorGridlines>
          <c:spPr>
            <a:ln w="9525" cap="flat" cmpd="sng" algn="ctr">
              <a:noFill/>
              <a:prstDash val="solid"/>
            </a:ln>
            <a:effectLst/>
          </c:spPr>
        </c:majorGridlines>
        <c:numFmt formatCode="General" sourceLinked="1"/>
        <c:majorTickMark val="none"/>
        <c:minorTickMark val="none"/>
        <c:tickLblPos val="nextTo"/>
        <c:crossAx val="115213440"/>
        <c:crosses val="autoZero"/>
        <c:crossBetween val="between"/>
      </c:valAx>
      <c:dTable>
        <c:showHorzBorder val="1"/>
        <c:showVertBorder val="1"/>
        <c:showOutline val="1"/>
        <c:showKeys val="0"/>
        <c:spPr>
          <a:noFill/>
          <a:ln w="9525" cap="flat" cmpd="sng" algn="ctr">
            <a:solidFill>
              <a:schemeClr val="tx1"/>
            </a:solidFill>
            <a:prstDash val="solid"/>
          </a:ln>
          <a:effectLst/>
        </c:spPr>
        <c:txPr>
          <a:bodyPr/>
          <a:lstStyle/>
          <a:p>
            <a:pPr rtl="0">
              <a:defRPr sz="1000" b="1"/>
            </a:pPr>
            <a:endParaRPr lang="en-US"/>
          </a:p>
        </c:txPr>
      </c:dTable>
      <c:spPr>
        <a:solidFill>
          <a:schemeClr val="bg1">
            <a:lumMod val="85000"/>
          </a:schemeClr>
        </a:solidFill>
      </c:spPr>
    </c:plotArea>
    <c:plotVisOnly val="1"/>
    <c:dispBlanksAs val="gap"/>
    <c:showDLblsOverMax val="0"/>
  </c:chart>
  <c:spPr>
    <a:solidFill>
      <a:schemeClr val="bg1">
        <a:lumMod val="95000"/>
      </a:schemeClr>
    </a:solidFill>
    <a:ln w="25400" cap="flat" cmpd="sng" algn="ctr">
      <a:solidFill>
        <a:schemeClr val="dk1"/>
      </a:solidFill>
      <a:prstDash val="solid"/>
    </a:ln>
    <a:effectLst/>
    <a:scene3d>
      <a:camera prst="orthographicFront"/>
      <a:lightRig rig="threePt" dir="t"/>
    </a:scene3d>
    <a:sp3d>
      <a:bevelT/>
    </a:sp3d>
  </c:spPr>
  <c:txPr>
    <a:bodyPr/>
    <a:lstStyle/>
    <a:p>
      <a:pPr algn="ctr">
        <a:defRPr sz="1600">
          <a:solidFill>
            <a:schemeClr val="dk1"/>
          </a:solidFill>
          <a:latin typeface="+mn-lt"/>
          <a:ea typeface="+mn-ea"/>
          <a:cs typeface="+mn-cs"/>
        </a:defRPr>
      </a:pPr>
      <a:endParaRPr lang="en-US"/>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2014 Tonnage Reported</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Tonnage!$A$3</c:f>
              <c:strCache>
                <c:ptCount val="1"/>
                <c:pt idx="0">
                  <c:v>Tons</c:v>
                </c:pt>
              </c:strCache>
            </c:strRef>
          </c:tx>
          <c:invertIfNegative val="0"/>
          <c:cat>
            <c:strRef>
              <c:f>Tonnage!$B$2:$I$2</c:f>
              <c:strCache>
                <c:ptCount val="7"/>
                <c:pt idx="0">
                  <c:v>Total</c:v>
                </c:pt>
                <c:pt idx="1">
                  <c:v>Bag</c:v>
                </c:pt>
                <c:pt idx="2">
                  <c:v>Bulk</c:v>
                </c:pt>
                <c:pt idx="3">
                  <c:v>Liquid</c:v>
                </c:pt>
                <c:pt idx="4">
                  <c:v>Farm</c:v>
                </c:pt>
                <c:pt idx="5">
                  <c:v>Non-Farm</c:v>
                </c:pt>
                <c:pt idx="6">
                  <c:v>Total Dollars</c:v>
                </c:pt>
              </c:strCache>
            </c:strRef>
          </c:cat>
          <c:val>
            <c:numRef>
              <c:f>Tonnage!$B$3:$I$3</c:f>
              <c:numCache>
                <c:formatCode>#,##0.00</c:formatCode>
                <c:ptCount val="8"/>
                <c:pt idx="0">
                  <c:v>91421.53</c:v>
                </c:pt>
                <c:pt idx="1">
                  <c:v>20736.740000000002</c:v>
                </c:pt>
                <c:pt idx="2">
                  <c:v>68035.990000000005</c:v>
                </c:pt>
                <c:pt idx="3">
                  <c:v>2648.8</c:v>
                </c:pt>
                <c:pt idx="4">
                  <c:v>73709.77</c:v>
                </c:pt>
                <c:pt idx="5">
                  <c:v>17711.759999999998</c:v>
                </c:pt>
                <c:pt idx="6" formatCode="&quot;$&quot;#,##0_);[Red]\(&quot;$&quot;#,##0\)">
                  <c:v>91421</c:v>
                </c:pt>
              </c:numCache>
            </c:numRef>
          </c:val>
        </c:ser>
        <c:dLbls>
          <c:showLegendKey val="0"/>
          <c:showVal val="0"/>
          <c:showCatName val="0"/>
          <c:showSerName val="0"/>
          <c:showPercent val="0"/>
          <c:showBubbleSize val="0"/>
        </c:dLbls>
        <c:gapWidth val="75"/>
        <c:shape val="box"/>
        <c:axId val="37862016"/>
        <c:axId val="37876096"/>
        <c:axId val="0"/>
      </c:bar3DChart>
      <c:catAx>
        <c:axId val="37862016"/>
        <c:scaling>
          <c:orientation val="minMax"/>
        </c:scaling>
        <c:delete val="0"/>
        <c:axPos val="b"/>
        <c:majorTickMark val="none"/>
        <c:minorTickMark val="none"/>
        <c:tickLblPos val="nextTo"/>
        <c:crossAx val="37876096"/>
        <c:crosses val="autoZero"/>
        <c:auto val="1"/>
        <c:lblAlgn val="ctr"/>
        <c:lblOffset val="100"/>
        <c:noMultiLvlLbl val="0"/>
      </c:catAx>
      <c:valAx>
        <c:axId val="37876096"/>
        <c:scaling>
          <c:orientation val="minMax"/>
        </c:scaling>
        <c:delete val="1"/>
        <c:axPos val="l"/>
        <c:majorGridlines/>
        <c:numFmt formatCode="#,##0.00" sourceLinked="1"/>
        <c:majorTickMark val="none"/>
        <c:minorTickMark val="none"/>
        <c:tickLblPos val="nextTo"/>
        <c:crossAx val="37862016"/>
        <c:crosses val="autoZero"/>
        <c:crossBetween val="between"/>
      </c:valAx>
      <c:dTable>
        <c:showHorzBorder val="1"/>
        <c:showVertBorder val="1"/>
        <c:showOutline val="1"/>
        <c:showKeys val="0"/>
        <c:spPr>
          <a:ln>
            <a:solidFill>
              <a:srgbClr val="000000">
                <a:alpha val="58039"/>
              </a:srgbClr>
            </a:solidFill>
            <a:prstDash val="solid"/>
          </a:ln>
        </c:spPr>
        <c:txPr>
          <a:bodyPr/>
          <a:lstStyle/>
          <a:p>
            <a:pPr rtl="0">
              <a:defRPr sz="1050" b="1"/>
            </a:pPr>
            <a:endParaRPr lang="en-US"/>
          </a:p>
        </c:txPr>
      </c:dTable>
    </c:plotArea>
    <c:plotVisOnly val="1"/>
    <c:dispBlanksAs val="gap"/>
    <c:showDLblsOverMax val="0"/>
  </c:chart>
  <c:spPr>
    <a:solidFill>
      <a:schemeClr val="bg1">
        <a:lumMod val="85000"/>
      </a:schemeClr>
    </a:solidFill>
    <a:ln w="25400" cap="flat" cmpd="sng" algn="ctr">
      <a:solidFill>
        <a:schemeClr val="dk1"/>
      </a:solidFill>
      <a:prstDash val="solid"/>
    </a:ln>
    <a:effectLst/>
    <a:scene3d>
      <a:camera prst="orthographicFront"/>
      <a:lightRig rig="threePt" dir="t"/>
    </a:scene3d>
    <a:sp3d>
      <a:bevelT/>
    </a:sp3d>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800" b="1" i="0" baseline="0">
                <a:effectLst/>
              </a:rPr>
              <a:t>History of All Sampling Activity 2011-2015</a:t>
            </a:r>
            <a:endParaRPr lang="en-US">
              <a:effectLst/>
            </a:endParaRPr>
          </a:p>
        </c:rich>
      </c:tx>
      <c:overlay val="0"/>
    </c:title>
    <c:autoTitleDeleted val="0"/>
    <c:plotArea>
      <c:layout>
        <c:manualLayout>
          <c:layoutTarget val="inner"/>
          <c:xMode val="edge"/>
          <c:yMode val="edge"/>
          <c:x val="0.1418059930008749"/>
          <c:y val="0.12808998190294707"/>
          <c:w val="0.84986067366579177"/>
          <c:h val="0.54685386929373558"/>
        </c:manualLayout>
      </c:layout>
      <c:barChart>
        <c:barDir val="col"/>
        <c:grouping val="clustered"/>
        <c:varyColors val="0"/>
        <c:ser>
          <c:idx val="0"/>
          <c:order val="0"/>
          <c:tx>
            <c:strRef>
              <c:f>'Total Sample Charts'!$O$5</c:f>
              <c:strCache>
                <c:ptCount val="1"/>
                <c:pt idx="0">
                  <c:v>PASS</c:v>
                </c:pt>
              </c:strCache>
            </c:strRef>
          </c:tx>
          <c:invertIfNegative val="0"/>
          <c:dLbls>
            <c:txPr>
              <a:bodyPr/>
              <a:lstStyle/>
              <a:p>
                <a:pPr>
                  <a:defRPr b="1"/>
                </a:pPr>
                <a:endParaRPr lang="en-US"/>
              </a:p>
            </c:txPr>
            <c:dLblPos val="outEnd"/>
            <c:showLegendKey val="0"/>
            <c:showVal val="1"/>
            <c:showCatName val="0"/>
            <c:showSerName val="0"/>
            <c:showPercent val="0"/>
            <c:showBubbleSize val="0"/>
            <c:showLeaderLines val="0"/>
          </c:dLbls>
          <c:cat>
            <c:numRef>
              <c:f>'Total Sample Charts'!$P$3:$T$3</c:f>
              <c:numCache>
                <c:formatCode>General</c:formatCode>
                <c:ptCount val="5"/>
                <c:pt idx="0">
                  <c:v>2011</c:v>
                </c:pt>
                <c:pt idx="1">
                  <c:v>2012</c:v>
                </c:pt>
                <c:pt idx="2">
                  <c:v>2013</c:v>
                </c:pt>
                <c:pt idx="3">
                  <c:v>2014</c:v>
                </c:pt>
                <c:pt idx="4">
                  <c:v>2015</c:v>
                </c:pt>
              </c:numCache>
            </c:numRef>
          </c:cat>
          <c:val>
            <c:numRef>
              <c:f>'Total Sample Charts'!$P$5:$T$5</c:f>
              <c:numCache>
                <c:formatCode>General</c:formatCode>
                <c:ptCount val="5"/>
                <c:pt idx="0">
                  <c:v>13</c:v>
                </c:pt>
                <c:pt idx="1">
                  <c:v>9</c:v>
                </c:pt>
                <c:pt idx="2">
                  <c:v>78</c:v>
                </c:pt>
                <c:pt idx="3">
                  <c:v>84</c:v>
                </c:pt>
                <c:pt idx="4">
                  <c:v>203</c:v>
                </c:pt>
              </c:numCache>
            </c:numRef>
          </c:val>
        </c:ser>
        <c:ser>
          <c:idx val="1"/>
          <c:order val="1"/>
          <c:tx>
            <c:strRef>
              <c:f>'Total Sample Charts'!$O$6</c:f>
              <c:strCache>
                <c:ptCount val="1"/>
                <c:pt idx="0">
                  <c:v>FAIL</c:v>
                </c:pt>
              </c:strCache>
            </c:strRef>
          </c:tx>
          <c:invertIfNegative val="0"/>
          <c:dLbls>
            <c:txPr>
              <a:bodyPr/>
              <a:lstStyle/>
              <a:p>
                <a:pPr>
                  <a:defRPr b="1"/>
                </a:pPr>
                <a:endParaRPr lang="en-US"/>
              </a:p>
            </c:txPr>
            <c:dLblPos val="outEnd"/>
            <c:showLegendKey val="0"/>
            <c:showVal val="1"/>
            <c:showCatName val="0"/>
            <c:showSerName val="0"/>
            <c:showPercent val="0"/>
            <c:showBubbleSize val="0"/>
            <c:showLeaderLines val="0"/>
          </c:dLbls>
          <c:cat>
            <c:numRef>
              <c:f>'Total Sample Charts'!$P$3:$T$3</c:f>
              <c:numCache>
                <c:formatCode>General</c:formatCode>
                <c:ptCount val="5"/>
                <c:pt idx="0">
                  <c:v>2011</c:v>
                </c:pt>
                <c:pt idx="1">
                  <c:v>2012</c:v>
                </c:pt>
                <c:pt idx="2">
                  <c:v>2013</c:v>
                </c:pt>
                <c:pt idx="3">
                  <c:v>2014</c:v>
                </c:pt>
                <c:pt idx="4">
                  <c:v>2015</c:v>
                </c:pt>
              </c:numCache>
            </c:numRef>
          </c:cat>
          <c:val>
            <c:numRef>
              <c:f>'Total Sample Charts'!$P$6:$T$6</c:f>
              <c:numCache>
                <c:formatCode>General</c:formatCode>
                <c:ptCount val="5"/>
                <c:pt idx="0">
                  <c:v>36</c:v>
                </c:pt>
                <c:pt idx="1">
                  <c:v>60</c:v>
                </c:pt>
                <c:pt idx="2">
                  <c:v>70</c:v>
                </c:pt>
                <c:pt idx="3">
                  <c:v>69</c:v>
                </c:pt>
                <c:pt idx="4">
                  <c:v>112</c:v>
                </c:pt>
              </c:numCache>
            </c:numRef>
          </c:val>
        </c:ser>
        <c:ser>
          <c:idx val="2"/>
          <c:order val="2"/>
          <c:tx>
            <c:strRef>
              <c:f>'Total Sample Charts'!$O$7</c:f>
              <c:strCache>
                <c:ptCount val="1"/>
                <c:pt idx="0">
                  <c:v>% PASS</c:v>
                </c:pt>
              </c:strCache>
            </c:strRef>
          </c:tx>
          <c:invertIfNegative val="0"/>
          <c:dLbls>
            <c:txPr>
              <a:bodyPr/>
              <a:lstStyle/>
              <a:p>
                <a:pPr>
                  <a:defRPr b="1"/>
                </a:pPr>
                <a:endParaRPr lang="en-US"/>
              </a:p>
            </c:txPr>
            <c:dLblPos val="outEnd"/>
            <c:showLegendKey val="0"/>
            <c:showVal val="1"/>
            <c:showCatName val="0"/>
            <c:showSerName val="0"/>
            <c:showPercent val="0"/>
            <c:showBubbleSize val="0"/>
            <c:showLeaderLines val="0"/>
          </c:dLbls>
          <c:cat>
            <c:numRef>
              <c:f>'Total Sample Charts'!$P$3:$T$3</c:f>
              <c:numCache>
                <c:formatCode>General</c:formatCode>
                <c:ptCount val="5"/>
                <c:pt idx="0">
                  <c:v>2011</c:v>
                </c:pt>
                <c:pt idx="1">
                  <c:v>2012</c:v>
                </c:pt>
                <c:pt idx="2">
                  <c:v>2013</c:v>
                </c:pt>
                <c:pt idx="3">
                  <c:v>2014</c:v>
                </c:pt>
                <c:pt idx="4">
                  <c:v>2015</c:v>
                </c:pt>
              </c:numCache>
            </c:numRef>
          </c:cat>
          <c:val>
            <c:numRef>
              <c:f>'Total Sample Charts'!$P$7:$T$7</c:f>
              <c:numCache>
                <c:formatCode>0.0</c:formatCode>
                <c:ptCount val="5"/>
                <c:pt idx="0">
                  <c:v>26.5</c:v>
                </c:pt>
                <c:pt idx="1">
                  <c:v>13</c:v>
                </c:pt>
                <c:pt idx="2">
                  <c:v>52.7</c:v>
                </c:pt>
                <c:pt idx="3">
                  <c:v>54.9</c:v>
                </c:pt>
                <c:pt idx="4">
                  <c:v>64.400000000000006</c:v>
                </c:pt>
              </c:numCache>
            </c:numRef>
          </c:val>
        </c:ser>
        <c:ser>
          <c:idx val="3"/>
          <c:order val="3"/>
          <c:tx>
            <c:strRef>
              <c:f>'Total Sample Charts'!$O$8</c:f>
              <c:strCache>
                <c:ptCount val="1"/>
                <c:pt idx="0">
                  <c:v>% FAIL</c:v>
                </c:pt>
              </c:strCache>
            </c:strRef>
          </c:tx>
          <c:invertIfNegative val="0"/>
          <c:dLbls>
            <c:txPr>
              <a:bodyPr/>
              <a:lstStyle/>
              <a:p>
                <a:pPr>
                  <a:defRPr b="1"/>
                </a:pPr>
                <a:endParaRPr lang="en-US"/>
              </a:p>
            </c:txPr>
            <c:dLblPos val="outEnd"/>
            <c:showLegendKey val="0"/>
            <c:showVal val="1"/>
            <c:showCatName val="0"/>
            <c:showSerName val="0"/>
            <c:showPercent val="0"/>
            <c:showBubbleSize val="0"/>
            <c:showLeaderLines val="0"/>
          </c:dLbls>
          <c:cat>
            <c:numRef>
              <c:f>'Total Sample Charts'!$P$3:$T$3</c:f>
              <c:numCache>
                <c:formatCode>General</c:formatCode>
                <c:ptCount val="5"/>
                <c:pt idx="0">
                  <c:v>2011</c:v>
                </c:pt>
                <c:pt idx="1">
                  <c:v>2012</c:v>
                </c:pt>
                <c:pt idx="2">
                  <c:v>2013</c:v>
                </c:pt>
                <c:pt idx="3">
                  <c:v>2014</c:v>
                </c:pt>
                <c:pt idx="4">
                  <c:v>2015</c:v>
                </c:pt>
              </c:numCache>
            </c:numRef>
          </c:cat>
          <c:val>
            <c:numRef>
              <c:f>'Total Sample Charts'!$P$8:$T$8</c:f>
              <c:numCache>
                <c:formatCode>0.0</c:formatCode>
                <c:ptCount val="5"/>
                <c:pt idx="0">
                  <c:v>73.5</c:v>
                </c:pt>
                <c:pt idx="1">
                  <c:v>87</c:v>
                </c:pt>
                <c:pt idx="2">
                  <c:v>47.3</c:v>
                </c:pt>
                <c:pt idx="3">
                  <c:v>45.1</c:v>
                </c:pt>
                <c:pt idx="4">
                  <c:v>35.6</c:v>
                </c:pt>
              </c:numCache>
            </c:numRef>
          </c:val>
        </c:ser>
        <c:dLbls>
          <c:dLblPos val="outEnd"/>
          <c:showLegendKey val="0"/>
          <c:showVal val="1"/>
          <c:showCatName val="0"/>
          <c:showSerName val="0"/>
          <c:showPercent val="0"/>
          <c:showBubbleSize val="0"/>
        </c:dLbls>
        <c:gapWidth val="75"/>
        <c:overlap val="-25"/>
        <c:axId val="37030144"/>
        <c:axId val="37044224"/>
      </c:barChart>
      <c:catAx>
        <c:axId val="37030144"/>
        <c:scaling>
          <c:orientation val="minMax"/>
        </c:scaling>
        <c:delete val="0"/>
        <c:axPos val="b"/>
        <c:numFmt formatCode="General" sourceLinked="1"/>
        <c:majorTickMark val="none"/>
        <c:minorTickMark val="none"/>
        <c:tickLblPos val="nextTo"/>
        <c:crossAx val="37044224"/>
        <c:crosses val="autoZero"/>
        <c:auto val="1"/>
        <c:lblAlgn val="ctr"/>
        <c:lblOffset val="100"/>
        <c:noMultiLvlLbl val="0"/>
      </c:catAx>
      <c:valAx>
        <c:axId val="37044224"/>
        <c:scaling>
          <c:orientation val="minMax"/>
        </c:scaling>
        <c:delete val="0"/>
        <c:axPos val="l"/>
        <c:majorGridlines/>
        <c:numFmt formatCode="General" sourceLinked="1"/>
        <c:majorTickMark val="none"/>
        <c:minorTickMark val="none"/>
        <c:tickLblPos val="nextTo"/>
        <c:spPr>
          <a:ln w="9525">
            <a:noFill/>
          </a:ln>
        </c:spPr>
        <c:crossAx val="37030144"/>
        <c:crosses val="autoZero"/>
        <c:crossBetween val="between"/>
      </c:valAx>
      <c:dTable>
        <c:showHorzBorder val="1"/>
        <c:showVertBorder val="1"/>
        <c:showOutline val="1"/>
        <c:showKeys val="0"/>
        <c:spPr>
          <a:ln w="9525">
            <a:solidFill>
              <a:sysClr val="windowText" lastClr="000000"/>
            </a:solidFill>
          </a:ln>
        </c:spPr>
        <c:txPr>
          <a:bodyPr/>
          <a:lstStyle/>
          <a:p>
            <a:pPr rtl="0">
              <a:defRPr b="1"/>
            </a:pPr>
            <a:endParaRPr lang="en-US"/>
          </a:p>
        </c:txPr>
      </c:dTable>
      <c:spPr>
        <a:noFill/>
      </c:spPr>
    </c:plotArea>
    <c:legend>
      <c:legendPos val="b"/>
      <c:overlay val="0"/>
    </c:legend>
    <c:plotVisOnly val="1"/>
    <c:dispBlanksAs val="gap"/>
    <c:showDLblsOverMax val="0"/>
  </c:chart>
  <c:spPr>
    <a:solidFill>
      <a:schemeClr val="bg1">
        <a:lumMod val="95000"/>
      </a:schemeClr>
    </a:solidFill>
    <a:ln w="25400" cap="flat" cmpd="sng" algn="ctr">
      <a:solidFill>
        <a:schemeClr val="dk1"/>
      </a:solidFill>
      <a:prstDash val="solid"/>
    </a:ln>
    <a:effectLst/>
    <a:scene3d>
      <a:camera prst="orthographicFront"/>
      <a:lightRig rig="threePt" dir="t"/>
    </a:scene3d>
    <a:sp3d>
      <a:bevelT/>
    </a:sp3d>
  </c:spPr>
  <c:txPr>
    <a:bodyPr/>
    <a:lstStyle/>
    <a:p>
      <a:pPr>
        <a:defRPr>
          <a:solidFill>
            <a:schemeClr val="dk1"/>
          </a:solidFill>
          <a:latin typeface="+mn-lt"/>
          <a:ea typeface="+mn-ea"/>
          <a:cs typeface="+mn-cs"/>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en-US"/>
              <a:t>2015 Blend Plant Results</a:t>
            </a:r>
          </a:p>
        </c:rich>
      </c:tx>
      <c:overlay val="1"/>
    </c:title>
    <c:autoTitleDeleted val="0"/>
    <c:view3D>
      <c:rotX val="15"/>
      <c:rotY val="20"/>
      <c:rAngAx val="1"/>
    </c:view3D>
    <c:floor>
      <c:thickness val="0"/>
    </c:floor>
    <c:sideWall>
      <c:thickness val="0"/>
      <c:spPr>
        <a:solidFill>
          <a:schemeClr val="bg2">
            <a:lumMod val="90000"/>
          </a:schemeClr>
        </a:solidFill>
        <a:ln w="25400" cap="flat" cmpd="sng" algn="ctr">
          <a:solidFill>
            <a:schemeClr val="tx1"/>
          </a:solidFill>
          <a:prstDash val="solid"/>
        </a:ln>
        <a:effectLst/>
      </c:spPr>
    </c:sideWall>
    <c:backWall>
      <c:thickness val="0"/>
      <c:spPr>
        <a:solidFill>
          <a:schemeClr val="bg2">
            <a:lumMod val="90000"/>
          </a:schemeClr>
        </a:solidFill>
        <a:ln w="25400" cap="flat" cmpd="sng" algn="ctr">
          <a:solidFill>
            <a:schemeClr val="tx1"/>
          </a:solidFill>
          <a:prstDash val="solid"/>
        </a:ln>
        <a:effectLst/>
      </c:spPr>
    </c:backWall>
    <c:plotArea>
      <c:layout>
        <c:manualLayout>
          <c:layoutTarget val="inner"/>
          <c:xMode val="edge"/>
          <c:yMode val="edge"/>
          <c:x val="3.1007751937984496E-2"/>
          <c:y val="0.13627681356584356"/>
          <c:w val="0.93798449612403101"/>
          <c:h val="0.74165360745663589"/>
        </c:manualLayout>
      </c:layout>
      <c:bar3DChart>
        <c:barDir val="col"/>
        <c:grouping val="clustered"/>
        <c:varyColors val="0"/>
        <c:ser>
          <c:idx val="0"/>
          <c:order val="0"/>
          <c:invertIfNegative val="0"/>
          <c:dLbls>
            <c:dLbl>
              <c:idx val="0"/>
              <c:layout>
                <c:manualLayout>
                  <c:x val="2.255109231853418E-2"/>
                  <c:y val="-4.6296296296296294E-2"/>
                </c:manualLayout>
              </c:layout>
              <c:showLegendKey val="0"/>
              <c:showVal val="1"/>
              <c:showCatName val="0"/>
              <c:showSerName val="0"/>
              <c:showPercent val="0"/>
              <c:showBubbleSize val="0"/>
            </c:dLbl>
            <c:dLbl>
              <c:idx val="1"/>
              <c:layout>
                <c:manualLayout>
                  <c:x val="2.5369978858350951E-2"/>
                  <c:y val="-5.0925925925925923E-2"/>
                </c:manualLayout>
              </c:layout>
              <c:showLegendKey val="0"/>
              <c:showVal val="1"/>
              <c:showCatName val="0"/>
              <c:showSerName val="0"/>
              <c:showPercent val="0"/>
              <c:showBubbleSize val="0"/>
            </c:dLbl>
            <c:dLbl>
              <c:idx val="2"/>
              <c:layout>
                <c:manualLayout>
                  <c:x val="2.5369978858350951E-2"/>
                  <c:y val="-4.6296296296296294E-2"/>
                </c:manualLayout>
              </c:layout>
              <c:showLegendKey val="0"/>
              <c:showVal val="1"/>
              <c:showCatName val="0"/>
              <c:showSerName val="0"/>
              <c:showPercent val="0"/>
              <c:showBubbleSize val="0"/>
            </c:dLbl>
            <c:dLbl>
              <c:idx val="3"/>
              <c:layout>
                <c:manualLayout>
                  <c:x val="2.5369978858350951E-2"/>
                  <c:y val="-4.6296296296296294E-2"/>
                </c:manualLayout>
              </c:layout>
              <c:showLegendKey val="0"/>
              <c:showVal val="1"/>
              <c:showCatName val="0"/>
              <c:showSerName val="0"/>
              <c:showPercent val="0"/>
              <c:showBubbleSize val="0"/>
            </c:dLbl>
            <c:dLbl>
              <c:idx val="4"/>
              <c:layout>
                <c:manualLayout>
                  <c:x val="2.8188865398167725E-2"/>
                  <c:y val="-6.0185185185185182E-2"/>
                </c:manualLayout>
              </c:layout>
              <c:showLegendKey val="0"/>
              <c:showVal val="1"/>
              <c:showCatName val="0"/>
              <c:showSerName val="0"/>
              <c:showPercent val="0"/>
              <c:showBubbleSize val="0"/>
            </c:dLbl>
            <c:txPr>
              <a:bodyPr/>
              <a:lstStyle/>
              <a:p>
                <a:pPr>
                  <a:defRPr sz="1050" b="1"/>
                </a:pPr>
                <a:endParaRPr lang="en-US"/>
              </a:p>
            </c:txPr>
            <c:showLegendKey val="0"/>
            <c:showVal val="1"/>
            <c:showCatName val="0"/>
            <c:showSerName val="0"/>
            <c:showPercent val="0"/>
            <c:showBubbleSize val="0"/>
            <c:showLeaderLines val="0"/>
          </c:dLbls>
          <c:cat>
            <c:strRef>
              <c:f>'2015 Blend Results'!$J$2:$N$2</c:f>
              <c:strCache>
                <c:ptCount val="5"/>
                <c:pt idx="0">
                  <c:v>Total Samples</c:v>
                </c:pt>
                <c:pt idx="1">
                  <c:v>Pass</c:v>
                </c:pt>
                <c:pt idx="2">
                  <c:v>Fail</c:v>
                </c:pt>
                <c:pt idx="3">
                  <c:v>% Pass</c:v>
                </c:pt>
                <c:pt idx="4">
                  <c:v>% Fail</c:v>
                </c:pt>
              </c:strCache>
            </c:strRef>
          </c:cat>
          <c:val>
            <c:numRef>
              <c:f>'2015 Blend Results'!$J$3:$N$3</c:f>
              <c:numCache>
                <c:formatCode>General</c:formatCode>
                <c:ptCount val="5"/>
                <c:pt idx="0">
                  <c:v>170</c:v>
                </c:pt>
                <c:pt idx="1">
                  <c:v>122</c:v>
                </c:pt>
                <c:pt idx="2">
                  <c:v>48</c:v>
                </c:pt>
                <c:pt idx="3" formatCode="0.0">
                  <c:v>71.8</c:v>
                </c:pt>
                <c:pt idx="4" formatCode="0.0">
                  <c:v>28.2</c:v>
                </c:pt>
              </c:numCache>
            </c:numRef>
          </c:val>
        </c:ser>
        <c:dLbls>
          <c:showLegendKey val="0"/>
          <c:showVal val="1"/>
          <c:showCatName val="0"/>
          <c:showSerName val="0"/>
          <c:showPercent val="0"/>
          <c:showBubbleSize val="0"/>
        </c:dLbls>
        <c:gapWidth val="75"/>
        <c:shape val="box"/>
        <c:axId val="93987968"/>
        <c:axId val="108077056"/>
        <c:axId val="0"/>
      </c:bar3DChart>
      <c:catAx>
        <c:axId val="93987968"/>
        <c:scaling>
          <c:orientation val="minMax"/>
        </c:scaling>
        <c:delete val="0"/>
        <c:axPos val="b"/>
        <c:majorTickMark val="none"/>
        <c:minorTickMark val="none"/>
        <c:tickLblPos val="nextTo"/>
        <c:spPr>
          <a:noFill/>
          <a:ln w="9525" cap="flat" cmpd="sng" algn="ctr">
            <a:solidFill>
              <a:schemeClr val="accent6">
                <a:shade val="95000"/>
                <a:satMod val="105000"/>
              </a:schemeClr>
            </a:solidFill>
            <a:prstDash val="solid"/>
          </a:ln>
          <a:effectLst/>
        </c:spPr>
        <c:txPr>
          <a:bodyPr/>
          <a:lstStyle/>
          <a:p>
            <a:pPr>
              <a:defRPr sz="1050" b="1">
                <a:solidFill>
                  <a:schemeClr val="tx1"/>
                </a:solidFill>
                <a:latin typeface="+mn-lt"/>
                <a:ea typeface="+mn-ea"/>
                <a:cs typeface="+mn-cs"/>
              </a:defRPr>
            </a:pPr>
            <a:endParaRPr lang="en-US"/>
          </a:p>
        </c:txPr>
        <c:crossAx val="108077056"/>
        <c:crosses val="autoZero"/>
        <c:auto val="1"/>
        <c:lblAlgn val="ctr"/>
        <c:lblOffset val="100"/>
        <c:noMultiLvlLbl val="0"/>
      </c:catAx>
      <c:valAx>
        <c:axId val="108077056"/>
        <c:scaling>
          <c:orientation val="minMax"/>
        </c:scaling>
        <c:delete val="1"/>
        <c:axPos val="l"/>
        <c:numFmt formatCode="General" sourceLinked="1"/>
        <c:majorTickMark val="none"/>
        <c:minorTickMark val="none"/>
        <c:tickLblPos val="nextTo"/>
        <c:crossAx val="93987968"/>
        <c:crosses val="autoZero"/>
        <c:crossBetween val="between"/>
      </c:valAx>
    </c:plotArea>
    <c:plotVisOnly val="1"/>
    <c:dispBlanksAs val="gap"/>
    <c:showDLblsOverMax val="0"/>
  </c:chart>
  <c:spPr>
    <a:solidFill>
      <a:schemeClr val="bg2"/>
    </a:solidFill>
    <a:ln w="25400" cap="flat" cmpd="sng" algn="ctr">
      <a:solidFill>
        <a:schemeClr val="dk1"/>
      </a:solidFill>
      <a:prstDash val="solid"/>
    </a:ln>
    <a:effectLst/>
    <a:scene3d>
      <a:camera prst="orthographicFront"/>
      <a:lightRig rig="threePt" dir="t"/>
    </a:scene3d>
    <a:sp3d>
      <a:bevelT/>
    </a:sp3d>
  </c:spPr>
  <c:txPr>
    <a:bodyPr/>
    <a:lstStyle/>
    <a:p>
      <a:pPr>
        <a:defRPr>
          <a:solidFill>
            <a:schemeClr val="dk1"/>
          </a:solidFill>
          <a:latin typeface="+mn-lt"/>
          <a:ea typeface="+mn-ea"/>
          <a:cs typeface="+mn-cs"/>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a:t>2015 Retail Sampling Results</a:t>
            </a:r>
          </a:p>
        </c:rich>
      </c:tx>
      <c:overlay val="0"/>
    </c:title>
    <c:autoTitleDeleted val="0"/>
    <c:view3D>
      <c:rotX val="15"/>
      <c:rotY val="20"/>
      <c:rAngAx val="1"/>
    </c:view3D>
    <c:floor>
      <c:thickness val="0"/>
    </c:floor>
    <c:sideWall>
      <c:thickness val="0"/>
      <c:spPr>
        <a:solidFill>
          <a:schemeClr val="bg2">
            <a:lumMod val="90000"/>
          </a:schemeClr>
        </a:solidFill>
        <a:ln>
          <a:solidFill>
            <a:schemeClr val="tx1"/>
          </a:solidFill>
        </a:ln>
      </c:spPr>
    </c:sideWall>
    <c:backWall>
      <c:thickness val="0"/>
      <c:spPr>
        <a:solidFill>
          <a:schemeClr val="bg2">
            <a:lumMod val="90000"/>
          </a:schemeClr>
        </a:solidFill>
        <a:ln>
          <a:solidFill>
            <a:schemeClr val="tx1"/>
          </a:solidFill>
        </a:ln>
      </c:spPr>
    </c:backWall>
    <c:plotArea>
      <c:layout>
        <c:manualLayout>
          <c:layoutTarget val="inner"/>
          <c:xMode val="edge"/>
          <c:yMode val="edge"/>
          <c:x val="2.2160731522952223E-2"/>
          <c:y val="0.13877333041703122"/>
          <c:w val="0.95124715841078999"/>
          <c:h val="0.61734543598716829"/>
        </c:manualLayout>
      </c:layout>
      <c:bar3DChart>
        <c:barDir val="col"/>
        <c:grouping val="clustered"/>
        <c:varyColors val="0"/>
        <c:ser>
          <c:idx val="0"/>
          <c:order val="0"/>
          <c:tx>
            <c:strRef>
              <c:f>'2015 Retail Result'!$A$3</c:f>
              <c:strCache>
                <c:ptCount val="1"/>
                <c:pt idx="0">
                  <c:v>48 Co. Sampled</c:v>
                </c:pt>
              </c:strCache>
            </c:strRef>
          </c:tx>
          <c:invertIfNegative val="0"/>
          <c:dLbls>
            <c:dLbl>
              <c:idx val="0"/>
              <c:layout>
                <c:manualLayout>
                  <c:x val="2.2160208049348904E-2"/>
                  <c:y val="-4.6296296296296294E-3"/>
                </c:manualLayout>
              </c:layout>
              <c:showLegendKey val="0"/>
              <c:showVal val="1"/>
              <c:showCatName val="0"/>
              <c:showSerName val="0"/>
              <c:showPercent val="0"/>
              <c:showBubbleSize val="0"/>
            </c:dLbl>
            <c:dLbl>
              <c:idx val="1"/>
              <c:layout>
                <c:manualLayout>
                  <c:x val="2.4376420794605051E-2"/>
                  <c:y val="-1.851888305628463E-2"/>
                </c:manualLayout>
              </c:layout>
              <c:showLegendKey val="0"/>
              <c:showVal val="1"/>
              <c:showCatName val="0"/>
              <c:showSerName val="0"/>
              <c:showPercent val="0"/>
              <c:showBubbleSize val="0"/>
            </c:dLbl>
            <c:dLbl>
              <c:idx val="2"/>
              <c:layout>
                <c:manualLayout>
                  <c:x val="1.7728306032440008E-2"/>
                  <c:y val="-2.7777777777777776E-2"/>
                </c:manualLayout>
              </c:layout>
              <c:showLegendKey val="0"/>
              <c:showVal val="1"/>
              <c:showCatName val="0"/>
              <c:showSerName val="0"/>
              <c:showPercent val="0"/>
              <c:showBubbleSize val="0"/>
            </c:dLbl>
            <c:dLbl>
              <c:idx val="3"/>
              <c:layout>
                <c:manualLayout>
                  <c:x val="1.7728306032440008E-2"/>
                  <c:y val="-4.1666666666666664E-2"/>
                </c:manualLayout>
              </c:layout>
              <c:showLegendKey val="0"/>
              <c:showVal val="1"/>
              <c:showCatName val="0"/>
              <c:showSerName val="0"/>
              <c:showPercent val="0"/>
              <c:showBubbleSize val="0"/>
            </c:dLbl>
            <c:dLbl>
              <c:idx val="4"/>
              <c:layout>
                <c:manualLayout>
                  <c:x val="1.5512267778385007E-2"/>
                  <c:y val="-2.3148148148148147E-2"/>
                </c:manualLayout>
              </c:layout>
              <c:showLegendKey val="0"/>
              <c:showVal val="1"/>
              <c:showCatName val="0"/>
              <c:showSerName val="0"/>
              <c:showPercent val="0"/>
              <c:showBubbleSize val="0"/>
            </c:dLbl>
            <c:txPr>
              <a:bodyPr/>
              <a:lstStyle/>
              <a:p>
                <a:pPr>
                  <a:defRPr sz="1050" b="1"/>
                </a:pPr>
                <a:endParaRPr lang="en-US"/>
              </a:p>
            </c:txPr>
            <c:showLegendKey val="0"/>
            <c:showVal val="1"/>
            <c:showCatName val="0"/>
            <c:showSerName val="0"/>
            <c:showPercent val="0"/>
            <c:showBubbleSize val="0"/>
            <c:showLeaderLines val="0"/>
          </c:dLbls>
          <c:cat>
            <c:strRef>
              <c:f>'2015 Retail Result'!$B$2:$F$2</c:f>
              <c:strCache>
                <c:ptCount val="5"/>
                <c:pt idx="0">
                  <c:v>Total Samples</c:v>
                </c:pt>
                <c:pt idx="1">
                  <c:v>Pass</c:v>
                </c:pt>
                <c:pt idx="2">
                  <c:v>Fail</c:v>
                </c:pt>
                <c:pt idx="3">
                  <c:v>% Pass</c:v>
                </c:pt>
                <c:pt idx="4">
                  <c:v>% Fail</c:v>
                </c:pt>
              </c:strCache>
            </c:strRef>
          </c:cat>
          <c:val>
            <c:numRef>
              <c:f>'2015 Retail Result'!$B$3:$F$3</c:f>
              <c:numCache>
                <c:formatCode>General</c:formatCode>
                <c:ptCount val="5"/>
                <c:pt idx="0">
                  <c:v>145</c:v>
                </c:pt>
                <c:pt idx="1">
                  <c:v>81</c:v>
                </c:pt>
                <c:pt idx="2">
                  <c:v>64</c:v>
                </c:pt>
                <c:pt idx="3">
                  <c:v>55.9</c:v>
                </c:pt>
                <c:pt idx="4">
                  <c:v>44.1</c:v>
                </c:pt>
              </c:numCache>
            </c:numRef>
          </c:val>
        </c:ser>
        <c:dLbls>
          <c:showLegendKey val="0"/>
          <c:showVal val="1"/>
          <c:showCatName val="0"/>
          <c:showSerName val="0"/>
          <c:showPercent val="0"/>
          <c:showBubbleSize val="0"/>
        </c:dLbls>
        <c:gapWidth val="150"/>
        <c:shape val="box"/>
        <c:axId val="108092416"/>
        <c:axId val="143447936"/>
        <c:axId val="0"/>
      </c:bar3DChart>
      <c:catAx>
        <c:axId val="108092416"/>
        <c:scaling>
          <c:orientation val="minMax"/>
        </c:scaling>
        <c:delete val="0"/>
        <c:axPos val="b"/>
        <c:majorTickMark val="out"/>
        <c:minorTickMark val="none"/>
        <c:tickLblPos val="nextTo"/>
        <c:txPr>
          <a:bodyPr/>
          <a:lstStyle/>
          <a:p>
            <a:pPr>
              <a:defRPr sz="1050" b="1"/>
            </a:pPr>
            <a:endParaRPr lang="en-US"/>
          </a:p>
        </c:txPr>
        <c:crossAx val="143447936"/>
        <c:crosses val="autoZero"/>
        <c:auto val="1"/>
        <c:lblAlgn val="ctr"/>
        <c:lblOffset val="100"/>
        <c:noMultiLvlLbl val="0"/>
      </c:catAx>
      <c:valAx>
        <c:axId val="143447936"/>
        <c:scaling>
          <c:orientation val="minMax"/>
        </c:scaling>
        <c:delete val="1"/>
        <c:axPos val="l"/>
        <c:numFmt formatCode="General" sourceLinked="1"/>
        <c:majorTickMark val="out"/>
        <c:minorTickMark val="none"/>
        <c:tickLblPos val="nextTo"/>
        <c:crossAx val="108092416"/>
        <c:crosses val="autoZero"/>
        <c:crossBetween val="between"/>
      </c:valAx>
    </c:plotArea>
    <c:legend>
      <c:legendPos val="b"/>
      <c:overlay val="0"/>
      <c:txPr>
        <a:bodyPr/>
        <a:lstStyle/>
        <a:p>
          <a:pPr>
            <a:defRPr sz="1050" b="1"/>
          </a:pPr>
          <a:endParaRPr lang="en-US"/>
        </a:p>
      </c:txPr>
    </c:legend>
    <c:plotVisOnly val="1"/>
    <c:dispBlanksAs val="gap"/>
    <c:showDLblsOverMax val="0"/>
  </c:chart>
  <c:spPr>
    <a:solidFill>
      <a:schemeClr val="bg1">
        <a:lumMod val="85000"/>
      </a:schemeClr>
    </a:solidFill>
    <a:ln w="25400" cap="flat" cmpd="sng" algn="ctr">
      <a:solidFill>
        <a:schemeClr val="dk1"/>
      </a:solidFill>
      <a:prstDash val="solid"/>
    </a:ln>
    <a:effectLst/>
    <a:scene3d>
      <a:camera prst="orthographicFront"/>
      <a:lightRig rig="threePt" dir="t"/>
    </a:scene3d>
    <a:sp3d>
      <a:bevelT/>
    </a:sp3d>
  </c:spPr>
  <c:txPr>
    <a:bodyPr/>
    <a:lstStyle/>
    <a:p>
      <a:pPr>
        <a:defRPr>
          <a:solidFill>
            <a:schemeClr val="dk1"/>
          </a:solidFill>
          <a:latin typeface="+mn-lt"/>
          <a:ea typeface="+mn-ea"/>
          <a:cs typeface="+mn-cs"/>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2015 Sample Results by Blend Plant</a:t>
            </a:r>
          </a:p>
        </c:rich>
      </c:tx>
      <c:overlay val="0"/>
    </c:title>
    <c:autoTitleDeleted val="0"/>
    <c:plotArea>
      <c:layout/>
      <c:barChart>
        <c:barDir val="col"/>
        <c:grouping val="clustered"/>
        <c:varyColors val="0"/>
        <c:ser>
          <c:idx val="0"/>
          <c:order val="0"/>
          <c:tx>
            <c:strRef>
              <c:f>'2015 Blend Results'!$F$2</c:f>
              <c:strCache>
                <c:ptCount val="1"/>
                <c:pt idx="0">
                  <c:v>% Pass</c:v>
                </c:pt>
              </c:strCache>
            </c:strRef>
          </c:tx>
          <c:invertIfNegative val="0"/>
          <c:dLbls>
            <c:txPr>
              <a:bodyPr/>
              <a:lstStyle/>
              <a:p>
                <a:pPr>
                  <a:defRPr sz="1050" b="1"/>
                </a:pPr>
                <a:endParaRPr lang="en-US"/>
              </a:p>
            </c:txPr>
            <c:dLblPos val="outEnd"/>
            <c:showLegendKey val="0"/>
            <c:showVal val="1"/>
            <c:showCatName val="0"/>
            <c:showSerName val="0"/>
            <c:showPercent val="0"/>
            <c:showBubbleSize val="0"/>
            <c:showLeaderLines val="0"/>
          </c:dLbls>
          <c:cat>
            <c:multiLvlStrRef>
              <c:f>'2015 Blend Results'!$A$3:$B$9</c:f>
              <c:multiLvlStrCache>
                <c:ptCount val="7"/>
                <c:lvl>
                  <c:pt idx="0">
                    <c:v>Fort Fairfield</c:v>
                  </c:pt>
                  <c:pt idx="1">
                    <c:v>Houlton</c:v>
                  </c:pt>
                  <c:pt idx="2">
                    <c:v>Grand Falls, NB</c:v>
                  </c:pt>
                  <c:pt idx="3">
                    <c:v>Hartland, NB</c:v>
                  </c:pt>
                  <c:pt idx="4">
                    <c:v>Florenceville, NB</c:v>
                  </c:pt>
                  <c:pt idx="5">
                    <c:v>Grand Falls, NB</c:v>
                  </c:pt>
                  <c:pt idx="6">
                    <c:v>Detroit, ME</c:v>
                  </c:pt>
                </c:lvl>
                <c:lvl>
                  <c:pt idx="0">
                    <c:v>Cavendish Agri-Services, Inc.</c:v>
                  </c:pt>
                  <c:pt idx="1">
                    <c:v>Cavendish Agri-Services, Inc.</c:v>
                  </c:pt>
                  <c:pt idx="2">
                    <c:v>Grand Falls Agromart Ltd.</c:v>
                  </c:pt>
                  <c:pt idx="3">
                    <c:v>Hartland Agromart Ltd.</c:v>
                  </c:pt>
                  <c:pt idx="4">
                    <c:v>McCain Fertilizers</c:v>
                  </c:pt>
                  <c:pt idx="5">
                    <c:v>McCain Fertilizers</c:v>
                  </c:pt>
                  <c:pt idx="6">
                    <c:v>Northeast Agricultural Sales Inc.</c:v>
                  </c:pt>
                </c:lvl>
              </c:multiLvlStrCache>
            </c:multiLvlStrRef>
          </c:cat>
          <c:val>
            <c:numRef>
              <c:f>'2015 Blend Results'!$F$3:$F$9</c:f>
              <c:numCache>
                <c:formatCode>0.0%</c:formatCode>
                <c:ptCount val="7"/>
                <c:pt idx="0">
                  <c:v>0.84615384615384615</c:v>
                </c:pt>
                <c:pt idx="1">
                  <c:v>0.875</c:v>
                </c:pt>
                <c:pt idx="2">
                  <c:v>0.5714285714285714</c:v>
                </c:pt>
                <c:pt idx="3">
                  <c:v>0.8125</c:v>
                </c:pt>
                <c:pt idx="4">
                  <c:v>0.76470588235294112</c:v>
                </c:pt>
                <c:pt idx="5">
                  <c:v>0.86363636363636365</c:v>
                </c:pt>
                <c:pt idx="6">
                  <c:v>0.48837209302325579</c:v>
                </c:pt>
              </c:numCache>
            </c:numRef>
          </c:val>
        </c:ser>
        <c:ser>
          <c:idx val="1"/>
          <c:order val="1"/>
          <c:tx>
            <c:strRef>
              <c:f>'2015 Blend Results'!$G$2</c:f>
              <c:strCache>
                <c:ptCount val="1"/>
                <c:pt idx="0">
                  <c:v>% Fail</c:v>
                </c:pt>
              </c:strCache>
            </c:strRef>
          </c:tx>
          <c:invertIfNegative val="0"/>
          <c:dLbls>
            <c:dLbl>
              <c:idx val="0"/>
              <c:layout>
                <c:manualLayout>
                  <c:x val="1.1461318051575931E-2"/>
                  <c:y val="0"/>
                </c:manualLayout>
              </c:layout>
              <c:dLblPos val="outEnd"/>
              <c:showLegendKey val="0"/>
              <c:showVal val="1"/>
              <c:showCatName val="0"/>
              <c:showSerName val="0"/>
              <c:showPercent val="0"/>
              <c:showBubbleSize val="0"/>
            </c:dLbl>
            <c:dLbl>
              <c:idx val="1"/>
              <c:layout>
                <c:manualLayout>
                  <c:x val="1.1461318051575966E-2"/>
                  <c:y val="0"/>
                </c:manualLayout>
              </c:layout>
              <c:dLblPos val="outEnd"/>
              <c:showLegendKey val="0"/>
              <c:showVal val="1"/>
              <c:showCatName val="0"/>
              <c:showSerName val="0"/>
              <c:showPercent val="0"/>
              <c:showBubbleSize val="0"/>
            </c:dLbl>
            <c:dLbl>
              <c:idx val="2"/>
              <c:layout>
                <c:manualLayout>
                  <c:x val="1.3371537726838587E-2"/>
                  <c:y val="2.9175784099197666E-3"/>
                </c:manualLayout>
              </c:layout>
              <c:dLblPos val="outEnd"/>
              <c:showLegendKey val="0"/>
              <c:showVal val="1"/>
              <c:showCatName val="0"/>
              <c:showSerName val="0"/>
              <c:showPercent val="0"/>
              <c:showBubbleSize val="0"/>
            </c:dLbl>
            <c:dLbl>
              <c:idx val="3"/>
              <c:layout>
                <c:manualLayout>
                  <c:x val="1.1461318051575861E-2"/>
                  <c:y val="0"/>
                </c:manualLayout>
              </c:layout>
              <c:dLblPos val="outEnd"/>
              <c:showLegendKey val="0"/>
              <c:showVal val="1"/>
              <c:showCatName val="0"/>
              <c:showSerName val="0"/>
              <c:showPercent val="0"/>
              <c:showBubbleSize val="0"/>
            </c:dLbl>
            <c:dLbl>
              <c:idx val="4"/>
              <c:layout>
                <c:manualLayout>
                  <c:x val="1.7191977077363897E-2"/>
                  <c:y val="0"/>
                </c:manualLayout>
              </c:layout>
              <c:dLblPos val="outEnd"/>
              <c:showLegendKey val="0"/>
              <c:showVal val="1"/>
              <c:showCatName val="0"/>
              <c:showSerName val="0"/>
              <c:showPercent val="0"/>
              <c:showBubbleSize val="0"/>
            </c:dLbl>
            <c:dLbl>
              <c:idx val="5"/>
              <c:layout>
                <c:manualLayout>
                  <c:x val="1.3371537726838587E-2"/>
                  <c:y val="0"/>
                </c:manualLayout>
              </c:layout>
              <c:dLblPos val="outEnd"/>
              <c:showLegendKey val="0"/>
              <c:showVal val="1"/>
              <c:showCatName val="0"/>
              <c:showSerName val="0"/>
              <c:showPercent val="0"/>
              <c:showBubbleSize val="0"/>
            </c:dLbl>
            <c:dLbl>
              <c:idx val="6"/>
              <c:layout>
                <c:manualLayout>
                  <c:x val="1.9102196752626553E-2"/>
                  <c:y val="0"/>
                </c:manualLayout>
              </c:layout>
              <c:dLblPos val="outEnd"/>
              <c:showLegendKey val="0"/>
              <c:showVal val="1"/>
              <c:showCatName val="0"/>
              <c:showSerName val="0"/>
              <c:showPercent val="0"/>
              <c:showBubbleSize val="0"/>
            </c:dLbl>
            <c:txPr>
              <a:bodyPr/>
              <a:lstStyle/>
              <a:p>
                <a:pPr>
                  <a:defRPr b="1"/>
                </a:pPr>
                <a:endParaRPr lang="en-US"/>
              </a:p>
            </c:txPr>
            <c:dLblPos val="outEnd"/>
            <c:showLegendKey val="0"/>
            <c:showVal val="1"/>
            <c:showCatName val="0"/>
            <c:showSerName val="0"/>
            <c:showPercent val="0"/>
            <c:showBubbleSize val="0"/>
            <c:showLeaderLines val="0"/>
          </c:dLbls>
          <c:cat>
            <c:multiLvlStrRef>
              <c:f>'2015 Blend Results'!$A$3:$B$9</c:f>
              <c:multiLvlStrCache>
                <c:ptCount val="7"/>
                <c:lvl>
                  <c:pt idx="0">
                    <c:v>Fort Fairfield</c:v>
                  </c:pt>
                  <c:pt idx="1">
                    <c:v>Houlton</c:v>
                  </c:pt>
                  <c:pt idx="2">
                    <c:v>Grand Falls, NB</c:v>
                  </c:pt>
                  <c:pt idx="3">
                    <c:v>Hartland, NB</c:v>
                  </c:pt>
                  <c:pt idx="4">
                    <c:v>Florenceville, NB</c:v>
                  </c:pt>
                  <c:pt idx="5">
                    <c:v>Grand Falls, NB</c:v>
                  </c:pt>
                  <c:pt idx="6">
                    <c:v>Detroit, ME</c:v>
                  </c:pt>
                </c:lvl>
                <c:lvl>
                  <c:pt idx="0">
                    <c:v>Cavendish Agri-Services, Inc.</c:v>
                  </c:pt>
                  <c:pt idx="1">
                    <c:v>Cavendish Agri-Services, Inc.</c:v>
                  </c:pt>
                  <c:pt idx="2">
                    <c:v>Grand Falls Agromart Ltd.</c:v>
                  </c:pt>
                  <c:pt idx="3">
                    <c:v>Hartland Agromart Ltd.</c:v>
                  </c:pt>
                  <c:pt idx="4">
                    <c:v>McCain Fertilizers</c:v>
                  </c:pt>
                  <c:pt idx="5">
                    <c:v>McCain Fertilizers</c:v>
                  </c:pt>
                  <c:pt idx="6">
                    <c:v>Northeast Agricultural Sales Inc.</c:v>
                  </c:pt>
                </c:lvl>
              </c:multiLvlStrCache>
            </c:multiLvlStrRef>
          </c:cat>
          <c:val>
            <c:numRef>
              <c:f>'2015 Blend Results'!$G$3:$G$9</c:f>
              <c:numCache>
                <c:formatCode>0.0%</c:formatCode>
                <c:ptCount val="7"/>
                <c:pt idx="0">
                  <c:v>0.15384615384615385</c:v>
                </c:pt>
                <c:pt idx="1">
                  <c:v>0.125</c:v>
                </c:pt>
                <c:pt idx="2">
                  <c:v>0.42857142857142855</c:v>
                </c:pt>
                <c:pt idx="3">
                  <c:v>0.1875</c:v>
                </c:pt>
                <c:pt idx="4">
                  <c:v>0.23529411764705882</c:v>
                </c:pt>
                <c:pt idx="5">
                  <c:v>0.13636363636363635</c:v>
                </c:pt>
                <c:pt idx="6">
                  <c:v>0.51162790697674421</c:v>
                </c:pt>
              </c:numCache>
            </c:numRef>
          </c:val>
        </c:ser>
        <c:dLbls>
          <c:dLblPos val="outEnd"/>
          <c:showLegendKey val="0"/>
          <c:showVal val="1"/>
          <c:showCatName val="0"/>
          <c:showSerName val="0"/>
          <c:showPercent val="0"/>
          <c:showBubbleSize val="0"/>
        </c:dLbls>
        <c:gapWidth val="75"/>
        <c:axId val="37322752"/>
        <c:axId val="37323904"/>
      </c:barChart>
      <c:catAx>
        <c:axId val="37322752"/>
        <c:scaling>
          <c:orientation val="minMax"/>
        </c:scaling>
        <c:delete val="0"/>
        <c:axPos val="b"/>
        <c:majorTickMark val="none"/>
        <c:minorTickMark val="none"/>
        <c:tickLblPos val="nextTo"/>
        <c:crossAx val="37323904"/>
        <c:crosses val="autoZero"/>
        <c:auto val="1"/>
        <c:lblAlgn val="ctr"/>
        <c:lblOffset val="100"/>
        <c:noMultiLvlLbl val="0"/>
      </c:catAx>
      <c:valAx>
        <c:axId val="37323904"/>
        <c:scaling>
          <c:orientation val="minMax"/>
        </c:scaling>
        <c:delete val="1"/>
        <c:axPos val="l"/>
        <c:majorGridlines/>
        <c:numFmt formatCode="0.0%" sourceLinked="1"/>
        <c:majorTickMark val="none"/>
        <c:minorTickMark val="none"/>
        <c:tickLblPos val="nextTo"/>
        <c:crossAx val="37322752"/>
        <c:crosses val="autoZero"/>
        <c:crossBetween val="between"/>
      </c:valAx>
      <c:dTable>
        <c:showHorzBorder val="1"/>
        <c:showVertBorder val="1"/>
        <c:showOutline val="1"/>
        <c:showKeys val="1"/>
        <c:spPr>
          <a:solidFill>
            <a:schemeClr val="bg1">
              <a:lumMod val="95000"/>
            </a:schemeClr>
          </a:solidFill>
          <a:ln w="9525" cap="flat" cmpd="sng" algn="ctr">
            <a:solidFill>
              <a:schemeClr val="dk1">
                <a:shade val="95000"/>
                <a:satMod val="105000"/>
              </a:schemeClr>
            </a:solidFill>
            <a:prstDash val="solid"/>
          </a:ln>
          <a:effectLst/>
        </c:spPr>
        <c:txPr>
          <a:bodyPr/>
          <a:lstStyle/>
          <a:p>
            <a:pPr rtl="0">
              <a:defRPr sz="1050" b="1"/>
            </a:pPr>
            <a:endParaRPr lang="en-US"/>
          </a:p>
        </c:txPr>
      </c:dTable>
      <c:spPr>
        <a:solidFill>
          <a:schemeClr val="bg1">
            <a:lumMod val="95000"/>
          </a:schemeClr>
        </a:solidFill>
      </c:spPr>
    </c:plotArea>
    <c:legend>
      <c:legendPos val="b"/>
      <c:overlay val="0"/>
      <c:txPr>
        <a:bodyPr/>
        <a:lstStyle/>
        <a:p>
          <a:pPr>
            <a:defRPr sz="1050" b="1"/>
          </a:pPr>
          <a:endParaRPr lang="en-US"/>
        </a:p>
      </c:txPr>
    </c:legend>
    <c:plotVisOnly val="1"/>
    <c:dispBlanksAs val="gap"/>
    <c:showDLblsOverMax val="0"/>
  </c:chart>
  <c:spPr>
    <a:solidFill>
      <a:schemeClr val="bg2"/>
    </a:solidFill>
    <a:ln w="25400" cap="flat" cmpd="sng" algn="ctr">
      <a:solidFill>
        <a:schemeClr val="dk1"/>
      </a:solidFill>
      <a:prstDash val="solid"/>
    </a:ln>
    <a:effectLst/>
    <a:scene3d>
      <a:camera prst="orthographicFront"/>
      <a:lightRig rig="threePt" dir="t"/>
    </a:scene3d>
    <a:sp3d>
      <a:bevelT/>
    </a:sp3d>
  </c:spPr>
  <c:txPr>
    <a:bodyPr/>
    <a:lstStyle/>
    <a:p>
      <a:pPr>
        <a:defRPr>
          <a:solidFill>
            <a:schemeClr val="dk1"/>
          </a:solidFill>
          <a:latin typeface="+mn-lt"/>
          <a:ea typeface="+mn-ea"/>
          <a:cs typeface="+mn-cs"/>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2014 Sample Results by Blend Plant</a:t>
            </a:r>
          </a:p>
        </c:rich>
      </c:tx>
      <c:overlay val="0"/>
    </c:title>
    <c:autoTitleDeleted val="0"/>
    <c:plotArea>
      <c:layout/>
      <c:barChart>
        <c:barDir val="col"/>
        <c:grouping val="clustered"/>
        <c:varyColors val="0"/>
        <c:ser>
          <c:idx val="0"/>
          <c:order val="0"/>
          <c:tx>
            <c:strRef>
              <c:f>Sheet1!$O$2</c:f>
              <c:strCache>
                <c:ptCount val="1"/>
                <c:pt idx="0">
                  <c:v>% Pass</c:v>
                </c:pt>
              </c:strCache>
            </c:strRef>
          </c:tx>
          <c:invertIfNegative val="0"/>
          <c:dLbls>
            <c:txPr>
              <a:bodyPr/>
              <a:lstStyle/>
              <a:p>
                <a:pPr>
                  <a:defRPr sz="1050" b="1"/>
                </a:pPr>
                <a:endParaRPr lang="en-US"/>
              </a:p>
            </c:txPr>
            <c:dLblPos val="outEnd"/>
            <c:showLegendKey val="0"/>
            <c:showVal val="1"/>
            <c:showCatName val="0"/>
            <c:showSerName val="0"/>
            <c:showPercent val="0"/>
            <c:showBubbleSize val="0"/>
            <c:showLeaderLines val="0"/>
          </c:dLbls>
          <c:cat>
            <c:multiLvlStrRef>
              <c:f>Sheet1!$J$3:$K$9</c:f>
              <c:multiLvlStrCache>
                <c:ptCount val="7"/>
                <c:lvl>
                  <c:pt idx="0">
                    <c:v>Fort Fairfield</c:v>
                  </c:pt>
                  <c:pt idx="1">
                    <c:v>Houlton</c:v>
                  </c:pt>
                  <c:pt idx="2">
                    <c:v>Grand Falls, NB</c:v>
                  </c:pt>
                  <c:pt idx="3">
                    <c:v>Hartland, NB</c:v>
                  </c:pt>
                  <c:pt idx="4">
                    <c:v>Florenceville, NB</c:v>
                  </c:pt>
                  <c:pt idx="5">
                    <c:v>Grand Falls, NB</c:v>
                  </c:pt>
                  <c:pt idx="6">
                    <c:v>Detroit, ME</c:v>
                  </c:pt>
                </c:lvl>
                <c:lvl>
                  <c:pt idx="0">
                    <c:v>Cavendish Agri-Services</c:v>
                  </c:pt>
                  <c:pt idx="1">
                    <c:v>Cavendish Agri-Services</c:v>
                  </c:pt>
                  <c:pt idx="2">
                    <c:v>Grand Falls Agromart</c:v>
                  </c:pt>
                  <c:pt idx="3">
                    <c:v>Hartland Agromart</c:v>
                  </c:pt>
                  <c:pt idx="4">
                    <c:v>McCain Fertilizers</c:v>
                  </c:pt>
                  <c:pt idx="5">
                    <c:v>McCain Fertilizers</c:v>
                  </c:pt>
                  <c:pt idx="6">
                    <c:v>Northeast Ag Sales</c:v>
                  </c:pt>
                </c:lvl>
              </c:multiLvlStrCache>
            </c:multiLvlStrRef>
          </c:cat>
          <c:val>
            <c:numRef>
              <c:f>Sheet1!$O$3:$O$9</c:f>
              <c:numCache>
                <c:formatCode>0.0%</c:formatCode>
                <c:ptCount val="7"/>
                <c:pt idx="0">
                  <c:v>0.3125</c:v>
                </c:pt>
                <c:pt idx="1">
                  <c:v>0.875</c:v>
                </c:pt>
                <c:pt idx="2">
                  <c:v>0.25</c:v>
                </c:pt>
                <c:pt idx="3">
                  <c:v>0.41666666666666669</c:v>
                </c:pt>
                <c:pt idx="4">
                  <c:v>0.72222222222222221</c:v>
                </c:pt>
                <c:pt idx="5">
                  <c:v>0.6875</c:v>
                </c:pt>
                <c:pt idx="6">
                  <c:v>0.4</c:v>
                </c:pt>
              </c:numCache>
            </c:numRef>
          </c:val>
        </c:ser>
        <c:ser>
          <c:idx val="1"/>
          <c:order val="1"/>
          <c:tx>
            <c:strRef>
              <c:f>Sheet1!$P$2</c:f>
              <c:strCache>
                <c:ptCount val="1"/>
                <c:pt idx="0">
                  <c:v>% Failed</c:v>
                </c:pt>
              </c:strCache>
            </c:strRef>
          </c:tx>
          <c:invertIfNegative val="0"/>
          <c:dLbls>
            <c:txPr>
              <a:bodyPr/>
              <a:lstStyle/>
              <a:p>
                <a:pPr>
                  <a:defRPr sz="1050" b="1"/>
                </a:pPr>
                <a:endParaRPr lang="en-US"/>
              </a:p>
            </c:txPr>
            <c:dLblPos val="outEnd"/>
            <c:showLegendKey val="0"/>
            <c:showVal val="1"/>
            <c:showCatName val="0"/>
            <c:showSerName val="0"/>
            <c:showPercent val="0"/>
            <c:showBubbleSize val="0"/>
            <c:showLeaderLines val="0"/>
          </c:dLbls>
          <c:cat>
            <c:multiLvlStrRef>
              <c:f>Sheet1!$J$3:$K$9</c:f>
              <c:multiLvlStrCache>
                <c:ptCount val="7"/>
                <c:lvl>
                  <c:pt idx="0">
                    <c:v>Fort Fairfield</c:v>
                  </c:pt>
                  <c:pt idx="1">
                    <c:v>Houlton</c:v>
                  </c:pt>
                  <c:pt idx="2">
                    <c:v>Grand Falls, NB</c:v>
                  </c:pt>
                  <c:pt idx="3">
                    <c:v>Hartland, NB</c:v>
                  </c:pt>
                  <c:pt idx="4">
                    <c:v>Florenceville, NB</c:v>
                  </c:pt>
                  <c:pt idx="5">
                    <c:v>Grand Falls, NB</c:v>
                  </c:pt>
                  <c:pt idx="6">
                    <c:v>Detroit, ME</c:v>
                  </c:pt>
                </c:lvl>
                <c:lvl>
                  <c:pt idx="0">
                    <c:v>Cavendish Agri-Services</c:v>
                  </c:pt>
                  <c:pt idx="1">
                    <c:v>Cavendish Agri-Services</c:v>
                  </c:pt>
                  <c:pt idx="2">
                    <c:v>Grand Falls Agromart</c:v>
                  </c:pt>
                  <c:pt idx="3">
                    <c:v>Hartland Agromart</c:v>
                  </c:pt>
                  <c:pt idx="4">
                    <c:v>McCain Fertilizers</c:v>
                  </c:pt>
                  <c:pt idx="5">
                    <c:v>McCain Fertilizers</c:v>
                  </c:pt>
                  <c:pt idx="6">
                    <c:v>Northeast Ag Sales</c:v>
                  </c:pt>
                </c:lvl>
              </c:multiLvlStrCache>
            </c:multiLvlStrRef>
          </c:cat>
          <c:val>
            <c:numRef>
              <c:f>Sheet1!$P$3:$P$9</c:f>
              <c:numCache>
                <c:formatCode>0.0%</c:formatCode>
                <c:ptCount val="7"/>
                <c:pt idx="0">
                  <c:v>0.6875</c:v>
                </c:pt>
                <c:pt idx="1">
                  <c:v>0.125</c:v>
                </c:pt>
                <c:pt idx="2">
                  <c:v>0.75</c:v>
                </c:pt>
                <c:pt idx="3">
                  <c:v>0.58333333333333337</c:v>
                </c:pt>
                <c:pt idx="4">
                  <c:v>0.27777777777777779</c:v>
                </c:pt>
                <c:pt idx="5">
                  <c:v>0.3125</c:v>
                </c:pt>
                <c:pt idx="6">
                  <c:v>0.6</c:v>
                </c:pt>
              </c:numCache>
            </c:numRef>
          </c:val>
        </c:ser>
        <c:dLbls>
          <c:dLblPos val="outEnd"/>
          <c:showLegendKey val="0"/>
          <c:showVal val="1"/>
          <c:showCatName val="0"/>
          <c:showSerName val="0"/>
          <c:showPercent val="0"/>
          <c:showBubbleSize val="0"/>
        </c:dLbls>
        <c:gapWidth val="75"/>
        <c:overlap val="-25"/>
        <c:axId val="37691776"/>
        <c:axId val="37693312"/>
      </c:barChart>
      <c:catAx>
        <c:axId val="37691776"/>
        <c:scaling>
          <c:orientation val="minMax"/>
        </c:scaling>
        <c:delete val="0"/>
        <c:axPos val="b"/>
        <c:majorTickMark val="none"/>
        <c:minorTickMark val="none"/>
        <c:tickLblPos val="nextTo"/>
        <c:spPr>
          <a:solidFill>
            <a:schemeClr val="bg1">
              <a:lumMod val="95000"/>
            </a:schemeClr>
          </a:solidFill>
        </c:spPr>
        <c:txPr>
          <a:bodyPr/>
          <a:lstStyle/>
          <a:p>
            <a:pPr>
              <a:defRPr sz="1050" b="1"/>
            </a:pPr>
            <a:endParaRPr lang="en-US"/>
          </a:p>
        </c:txPr>
        <c:crossAx val="37693312"/>
        <c:crosses val="autoZero"/>
        <c:auto val="1"/>
        <c:lblAlgn val="ctr"/>
        <c:lblOffset val="100"/>
        <c:noMultiLvlLbl val="0"/>
      </c:catAx>
      <c:valAx>
        <c:axId val="37693312"/>
        <c:scaling>
          <c:orientation val="minMax"/>
        </c:scaling>
        <c:delete val="1"/>
        <c:axPos val="l"/>
        <c:majorGridlines/>
        <c:numFmt formatCode="0.0%" sourceLinked="1"/>
        <c:majorTickMark val="none"/>
        <c:minorTickMark val="none"/>
        <c:tickLblPos val="nextTo"/>
        <c:crossAx val="37691776"/>
        <c:crosses val="autoZero"/>
        <c:crossBetween val="between"/>
      </c:valAx>
    </c:plotArea>
    <c:legend>
      <c:legendPos val="b"/>
      <c:overlay val="0"/>
      <c:txPr>
        <a:bodyPr/>
        <a:lstStyle/>
        <a:p>
          <a:pPr>
            <a:defRPr sz="1050" b="1"/>
          </a:pPr>
          <a:endParaRPr lang="en-US"/>
        </a:p>
      </c:txPr>
    </c:legend>
    <c:plotVisOnly val="1"/>
    <c:dispBlanksAs val="gap"/>
    <c:showDLblsOverMax val="0"/>
  </c:chart>
  <c:spPr>
    <a:solidFill>
      <a:schemeClr val="bg2"/>
    </a:solidFill>
    <a:ln w="25400" cap="flat" cmpd="sng" algn="ctr">
      <a:solidFill>
        <a:schemeClr val="dk1"/>
      </a:solidFill>
      <a:prstDash val="solid"/>
    </a:ln>
    <a:effectLst/>
    <a:scene3d>
      <a:camera prst="orthographicFront"/>
      <a:lightRig rig="threePt" dir="t"/>
    </a:scene3d>
    <a:sp3d>
      <a:bevelT/>
    </a:sp3d>
  </c:spPr>
  <c:txPr>
    <a:bodyPr/>
    <a:lstStyle/>
    <a:p>
      <a:pPr>
        <a:defRPr>
          <a:solidFill>
            <a:schemeClr val="dk1"/>
          </a:solidFill>
          <a:latin typeface="+mn-lt"/>
          <a:ea typeface="+mn-ea"/>
          <a:cs typeface="+mn-cs"/>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High Priority Sample Results from Labs (Turn around Time) Calendar</a:t>
            </a:r>
            <a:r>
              <a:rPr lang="en-US" sz="1600" baseline="0"/>
              <a:t> </a:t>
            </a:r>
            <a:r>
              <a:rPr lang="en-US" sz="1600"/>
              <a:t>Days</a:t>
            </a:r>
          </a:p>
        </c:rich>
      </c:tx>
      <c:layout>
        <c:manualLayout>
          <c:xMode val="edge"/>
          <c:yMode val="edge"/>
          <c:x val="0.14487489063867018"/>
          <c:y val="2.7777777777777776E-2"/>
        </c:manualLayout>
      </c:layout>
      <c:overlay val="0"/>
    </c:title>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'TAT Charts'!$G$2</c:f>
              <c:strCache>
                <c:ptCount val="1"/>
                <c:pt idx="0">
                  <c:v>Ave. Calendar Days</c:v>
                </c:pt>
              </c:strCache>
            </c:strRef>
          </c:tx>
          <c:invertIfNegative val="0"/>
          <c:dLbls>
            <c:dLbl>
              <c:idx val="0"/>
              <c:layout>
                <c:manualLayout>
                  <c:x val="8.3333333333333332E-3"/>
                  <c:y val="-1.8518518518518517E-2"/>
                </c:manualLayout>
              </c:layout>
              <c:showLegendKey val="0"/>
              <c:showVal val="1"/>
              <c:showCatName val="0"/>
              <c:showSerName val="0"/>
              <c:showPercent val="0"/>
              <c:showBubbleSize val="0"/>
            </c:dLbl>
            <c:dLbl>
              <c:idx val="1"/>
              <c:layout>
                <c:manualLayout>
                  <c:x val="1.3888888888888888E-2"/>
                  <c:y val="-4.1666666666666664E-2"/>
                </c:manualLayout>
              </c:layout>
              <c:showLegendKey val="0"/>
              <c:showVal val="1"/>
              <c:showCatName val="0"/>
              <c:showSerName val="0"/>
              <c:showPercent val="0"/>
              <c:showBubbleSize val="0"/>
            </c:dLbl>
            <c:txPr>
              <a:bodyPr/>
              <a:lstStyle/>
              <a:p>
                <a:pPr>
                  <a:defRPr sz="1050" b="1"/>
                </a:pPr>
                <a:endParaRPr lang="en-US"/>
              </a:p>
            </c:txPr>
            <c:showLegendKey val="0"/>
            <c:showVal val="1"/>
            <c:showCatName val="0"/>
            <c:showSerName val="0"/>
            <c:showPercent val="0"/>
            <c:showBubbleSize val="0"/>
            <c:showLeaderLines val="0"/>
          </c:dLbls>
          <c:cat>
            <c:strRef>
              <c:f>'TAT Charts'!$F$3:$F$4</c:f>
              <c:strCache>
                <c:ptCount val="2"/>
                <c:pt idx="0">
                  <c:v>University of Maine</c:v>
                </c:pt>
                <c:pt idx="1">
                  <c:v>Spectrum Analytic</c:v>
                </c:pt>
              </c:strCache>
            </c:strRef>
          </c:cat>
          <c:val>
            <c:numRef>
              <c:f>'TAT Charts'!$G$3:$G$4</c:f>
              <c:numCache>
                <c:formatCode>General</c:formatCode>
                <c:ptCount val="2"/>
                <c:pt idx="0">
                  <c:v>18</c:v>
                </c:pt>
                <c:pt idx="1">
                  <c:v>17</c:v>
                </c:pt>
              </c:numCache>
            </c:numRef>
          </c:val>
        </c:ser>
        <c:dLbls>
          <c:showLegendKey val="0"/>
          <c:showVal val="1"/>
          <c:showCatName val="0"/>
          <c:showSerName val="0"/>
          <c:showPercent val="0"/>
          <c:showBubbleSize val="0"/>
        </c:dLbls>
        <c:gapWidth val="150"/>
        <c:shape val="box"/>
        <c:axId val="37709312"/>
        <c:axId val="37728640"/>
        <c:axId val="0"/>
      </c:bar3DChart>
      <c:catAx>
        <c:axId val="37709312"/>
        <c:scaling>
          <c:orientation val="minMax"/>
        </c:scaling>
        <c:delete val="0"/>
        <c:axPos val="b"/>
        <c:majorTickMark val="out"/>
        <c:minorTickMark val="none"/>
        <c:tickLblPos val="nextTo"/>
        <c:txPr>
          <a:bodyPr/>
          <a:lstStyle/>
          <a:p>
            <a:pPr>
              <a:defRPr sz="1050" b="1"/>
            </a:pPr>
            <a:endParaRPr lang="en-US"/>
          </a:p>
        </c:txPr>
        <c:crossAx val="37728640"/>
        <c:crosses val="autoZero"/>
        <c:auto val="1"/>
        <c:lblAlgn val="ctr"/>
        <c:lblOffset val="100"/>
        <c:noMultiLvlLbl val="0"/>
      </c:catAx>
      <c:valAx>
        <c:axId val="37728640"/>
        <c:scaling>
          <c:orientation val="minMax"/>
        </c:scaling>
        <c:delete val="1"/>
        <c:axPos val="l"/>
        <c:majorGridlines/>
        <c:numFmt formatCode="General" sourceLinked="1"/>
        <c:majorTickMark val="out"/>
        <c:minorTickMark val="none"/>
        <c:tickLblPos val="nextTo"/>
        <c:crossAx val="37709312"/>
        <c:crosses val="autoZero"/>
        <c:crossBetween val="between"/>
      </c:valAx>
    </c:plotArea>
    <c:legend>
      <c:legendPos val="b"/>
      <c:overlay val="0"/>
      <c:txPr>
        <a:bodyPr/>
        <a:lstStyle/>
        <a:p>
          <a:pPr>
            <a:defRPr sz="1050" b="1"/>
          </a:pPr>
          <a:endParaRPr lang="en-US"/>
        </a:p>
      </c:txPr>
    </c:legend>
    <c:plotVisOnly val="1"/>
    <c:dispBlanksAs val="gap"/>
    <c:showDLblsOverMax val="0"/>
  </c:chart>
  <c:spPr>
    <a:solidFill>
      <a:schemeClr val="bg1">
        <a:lumMod val="85000"/>
      </a:schemeClr>
    </a:solidFill>
    <a:ln w="25400" cap="flat" cmpd="sng" algn="ctr">
      <a:solidFill>
        <a:schemeClr val="dk1"/>
      </a:solidFill>
      <a:prstDash val="solid"/>
    </a:ln>
    <a:effectLst/>
    <a:scene3d>
      <a:camera prst="orthographicFront"/>
      <a:lightRig rig="threePt" dir="t"/>
    </a:scene3d>
    <a:sp3d>
      <a:bevelT/>
    </a:sp3d>
  </c:spPr>
  <c:txPr>
    <a:bodyPr/>
    <a:lstStyle/>
    <a:p>
      <a:pPr>
        <a:defRPr>
          <a:solidFill>
            <a:schemeClr val="dk1"/>
          </a:solidFill>
          <a:latin typeface="+mn-lt"/>
          <a:ea typeface="+mn-ea"/>
          <a:cs typeface="+mn-cs"/>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Response Time (Days from receiving results from Labs to letters being</a:t>
            </a:r>
            <a:r>
              <a:rPr lang="en-US" sz="1600" baseline="0"/>
              <a:t> </a:t>
            </a:r>
            <a:r>
              <a:rPr lang="en-US" sz="1600"/>
              <a:t>sent)</a:t>
            </a:r>
          </a:p>
        </c:rich>
      </c:tx>
      <c:layout>
        <c:manualLayout>
          <c:xMode val="edge"/>
          <c:yMode val="edge"/>
          <c:x val="0.15657633420822398"/>
          <c:y val="3.7037037037037035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txPr>
              <a:bodyPr/>
              <a:lstStyle/>
              <a:p>
                <a:pPr>
                  <a:defRPr sz="1050" b="1"/>
                </a:pPr>
                <a:endParaRPr lang="en-US"/>
              </a:p>
            </c:txPr>
            <c:showLegendKey val="0"/>
            <c:showVal val="1"/>
            <c:showCatName val="0"/>
            <c:showSerName val="0"/>
            <c:showPercent val="0"/>
            <c:showBubbleSize val="0"/>
            <c:showLeaderLines val="0"/>
          </c:dLbls>
          <c:cat>
            <c:multiLvlStrRef>
              <c:f>'TAT Charts'!$A$20:$G$21</c:f>
              <c:multiLvlStrCache>
                <c:ptCount val="7"/>
                <c:lvl>
                  <c:pt idx="1">
                    <c:v>Sent Same Day %</c:v>
                  </c:pt>
                  <c:pt idx="2">
                    <c:v>Sent in one day %</c:v>
                  </c:pt>
                  <c:pt idx="3">
                    <c:v>Sent in two days %</c:v>
                  </c:pt>
                  <c:pt idx="4">
                    <c:v>Sent in three days %</c:v>
                  </c:pt>
                  <c:pt idx="5">
                    <c:v>Sent in four days %</c:v>
                  </c:pt>
                  <c:pt idx="6">
                    <c:v>Sent in eight days %</c:v>
                  </c:pt>
                </c:lvl>
                <c:lvl>
                  <c:pt idx="0">
                    <c:v>Response Time to Growers and Blend Plants for results  received  from Labs (High Priority)</c:v>
                  </c:pt>
                </c:lvl>
              </c:multiLvlStrCache>
            </c:multiLvlStrRef>
          </c:cat>
          <c:val>
            <c:numRef>
              <c:f>'TAT Charts'!$A$22:$G$22</c:f>
              <c:numCache>
                <c:formatCode>General</c:formatCode>
                <c:ptCount val="7"/>
                <c:pt idx="1">
                  <c:v>56.7</c:v>
                </c:pt>
                <c:pt idx="2">
                  <c:v>17.100000000000001</c:v>
                </c:pt>
                <c:pt idx="3">
                  <c:v>17.100000000000001</c:v>
                </c:pt>
                <c:pt idx="4">
                  <c:v>3.7</c:v>
                </c:pt>
                <c:pt idx="5">
                  <c:v>1.2</c:v>
                </c:pt>
                <c:pt idx="6">
                  <c:v>4.2</c:v>
                </c:pt>
              </c:numCache>
            </c:numRef>
          </c:val>
        </c:ser>
        <c:dLbls>
          <c:showLegendKey val="0"/>
          <c:showVal val="1"/>
          <c:showCatName val="0"/>
          <c:showSerName val="0"/>
          <c:showPercent val="0"/>
          <c:showBubbleSize val="0"/>
        </c:dLbls>
        <c:gapWidth val="75"/>
        <c:shape val="box"/>
        <c:axId val="37818368"/>
        <c:axId val="37821056"/>
        <c:axId val="0"/>
      </c:bar3DChart>
      <c:catAx>
        <c:axId val="37818368"/>
        <c:scaling>
          <c:orientation val="minMax"/>
        </c:scaling>
        <c:delete val="0"/>
        <c:axPos val="b"/>
        <c:majorTickMark val="none"/>
        <c:minorTickMark val="none"/>
        <c:tickLblPos val="nextTo"/>
        <c:txPr>
          <a:bodyPr/>
          <a:lstStyle/>
          <a:p>
            <a:pPr>
              <a:defRPr sz="1050" b="1"/>
            </a:pPr>
            <a:endParaRPr lang="en-US"/>
          </a:p>
        </c:txPr>
        <c:crossAx val="37821056"/>
        <c:crosses val="autoZero"/>
        <c:auto val="1"/>
        <c:lblAlgn val="ctr"/>
        <c:lblOffset val="100"/>
        <c:noMultiLvlLbl val="0"/>
      </c:catAx>
      <c:valAx>
        <c:axId val="37821056"/>
        <c:scaling>
          <c:orientation val="minMax"/>
        </c:scaling>
        <c:delete val="1"/>
        <c:axPos val="l"/>
        <c:majorGridlines/>
        <c:numFmt formatCode="General" sourceLinked="1"/>
        <c:majorTickMark val="none"/>
        <c:minorTickMark val="none"/>
        <c:tickLblPos val="nextTo"/>
        <c:crossAx val="37818368"/>
        <c:crosses val="autoZero"/>
        <c:crossBetween val="between"/>
      </c:valAx>
    </c:plotArea>
    <c:plotVisOnly val="1"/>
    <c:dispBlanksAs val="gap"/>
    <c:showDLblsOverMax val="0"/>
  </c:chart>
  <c:spPr>
    <a:solidFill>
      <a:schemeClr val="bg1">
        <a:lumMod val="85000"/>
      </a:schemeClr>
    </a:solidFill>
    <a:ln w="25400" cap="flat" cmpd="sng" algn="ctr">
      <a:solidFill>
        <a:schemeClr val="dk1"/>
      </a:solidFill>
      <a:prstDash val="solid"/>
    </a:ln>
    <a:effectLst/>
    <a:scene3d>
      <a:camera prst="orthographicFront"/>
      <a:lightRig rig="threePt" dir="t"/>
    </a:scene3d>
    <a:sp3d>
      <a:bevelT/>
    </a:sp3d>
  </c:spPr>
  <c:txPr>
    <a:bodyPr/>
    <a:lstStyle/>
    <a:p>
      <a:pPr>
        <a:defRPr>
          <a:solidFill>
            <a:schemeClr val="dk1"/>
          </a:solidFill>
          <a:latin typeface="+mn-lt"/>
          <a:ea typeface="+mn-ea"/>
          <a:cs typeface="+mn-cs"/>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2015 Tonnage Reported</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Tonnage!$A$7</c:f>
              <c:strCache>
                <c:ptCount val="1"/>
                <c:pt idx="0">
                  <c:v>Tons</c:v>
                </c:pt>
              </c:strCache>
            </c:strRef>
          </c:tx>
          <c:invertIfNegative val="0"/>
          <c:cat>
            <c:strRef>
              <c:f>Tonnage!$B$6:$I$6</c:f>
              <c:strCache>
                <c:ptCount val="7"/>
                <c:pt idx="0">
                  <c:v>Total</c:v>
                </c:pt>
                <c:pt idx="1">
                  <c:v>Bag</c:v>
                </c:pt>
                <c:pt idx="2">
                  <c:v>Bulk</c:v>
                </c:pt>
                <c:pt idx="3">
                  <c:v>Liquid</c:v>
                </c:pt>
                <c:pt idx="4">
                  <c:v>Farm</c:v>
                </c:pt>
                <c:pt idx="5">
                  <c:v>Non-Farm</c:v>
                </c:pt>
                <c:pt idx="6">
                  <c:v>Total Dollars</c:v>
                </c:pt>
              </c:strCache>
            </c:strRef>
          </c:cat>
          <c:val>
            <c:numRef>
              <c:f>Tonnage!$B$7:$I$7</c:f>
              <c:numCache>
                <c:formatCode>#,##0</c:formatCode>
                <c:ptCount val="8"/>
                <c:pt idx="0">
                  <c:v>102352</c:v>
                </c:pt>
                <c:pt idx="1">
                  <c:v>23498</c:v>
                </c:pt>
                <c:pt idx="2">
                  <c:v>75090</c:v>
                </c:pt>
                <c:pt idx="3">
                  <c:v>3764</c:v>
                </c:pt>
                <c:pt idx="4">
                  <c:v>82184</c:v>
                </c:pt>
                <c:pt idx="5">
                  <c:v>20168</c:v>
                </c:pt>
                <c:pt idx="6" formatCode="&quot;$&quot;#,##0_);[Red]\(&quot;$&quot;#,##0\)">
                  <c:v>0</c:v>
                </c:pt>
              </c:numCache>
            </c:numRef>
          </c:val>
        </c:ser>
        <c:dLbls>
          <c:showLegendKey val="0"/>
          <c:showVal val="0"/>
          <c:showCatName val="0"/>
          <c:showSerName val="0"/>
          <c:showPercent val="0"/>
          <c:showBubbleSize val="0"/>
        </c:dLbls>
        <c:gapWidth val="75"/>
        <c:shape val="box"/>
        <c:axId val="37841920"/>
        <c:axId val="37851904"/>
        <c:axId val="0"/>
      </c:bar3DChart>
      <c:catAx>
        <c:axId val="37841920"/>
        <c:scaling>
          <c:orientation val="minMax"/>
        </c:scaling>
        <c:delete val="0"/>
        <c:axPos val="b"/>
        <c:majorTickMark val="none"/>
        <c:minorTickMark val="none"/>
        <c:tickLblPos val="nextTo"/>
        <c:crossAx val="37851904"/>
        <c:crosses val="autoZero"/>
        <c:auto val="1"/>
        <c:lblAlgn val="ctr"/>
        <c:lblOffset val="100"/>
        <c:noMultiLvlLbl val="0"/>
      </c:catAx>
      <c:valAx>
        <c:axId val="37851904"/>
        <c:scaling>
          <c:orientation val="minMax"/>
        </c:scaling>
        <c:delete val="1"/>
        <c:axPos val="l"/>
        <c:majorGridlines/>
        <c:numFmt formatCode="#,##0" sourceLinked="1"/>
        <c:majorTickMark val="none"/>
        <c:minorTickMark val="none"/>
        <c:tickLblPos val="nextTo"/>
        <c:crossAx val="37841920"/>
        <c:crosses val="autoZero"/>
        <c:crossBetween val="between"/>
      </c:valAx>
      <c:dTable>
        <c:showHorzBorder val="1"/>
        <c:showVertBorder val="1"/>
        <c:showOutline val="1"/>
        <c:showKeys val="0"/>
        <c:txPr>
          <a:bodyPr/>
          <a:lstStyle/>
          <a:p>
            <a:pPr rtl="0">
              <a:defRPr sz="1050" b="1"/>
            </a:pPr>
            <a:endParaRPr lang="en-US"/>
          </a:p>
        </c:txPr>
      </c:dTable>
    </c:plotArea>
    <c:plotVisOnly val="1"/>
    <c:dispBlanksAs val="gap"/>
    <c:showDLblsOverMax val="0"/>
  </c:chart>
  <c:spPr>
    <a:solidFill>
      <a:schemeClr val="bg1">
        <a:lumMod val="85000"/>
      </a:schemeClr>
    </a:solidFill>
    <a:ln w="25400" cap="flat" cmpd="sng" algn="ctr">
      <a:solidFill>
        <a:schemeClr val="dk1"/>
      </a:solidFill>
      <a:prstDash val="solid"/>
    </a:ln>
    <a:effectLst/>
    <a:scene3d>
      <a:camera prst="orthographicFront"/>
      <a:lightRig rig="threePt" dir="t"/>
    </a:scene3d>
    <a:sp3d>
      <a:bevelT/>
    </a:sp3d>
  </c:spPr>
  <c:txPr>
    <a:bodyPr/>
    <a:lstStyle/>
    <a:p>
      <a:pPr>
        <a:defRPr>
          <a:solidFill>
            <a:schemeClr val="dk1"/>
          </a:solidFill>
          <a:latin typeface="+mn-lt"/>
          <a:ea typeface="+mn-ea"/>
          <a:cs typeface="+mn-cs"/>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0.25</cdr:x>
      <cdr:y>0.1441</cdr:y>
    </cdr:from>
    <cdr:to>
      <cdr:x>0.8875</cdr:x>
      <cdr:y>0.65451</cdr:y>
    </cdr:to>
    <cdr:cxnSp macro="">
      <cdr:nvCxnSpPr>
        <cdr:cNvPr id="3" name="Straight Arrow Connector 2"/>
        <cdr:cNvCxnSpPr/>
      </cdr:nvCxnSpPr>
      <cdr:spPr>
        <a:xfrm xmlns:a="http://schemas.openxmlformats.org/drawingml/2006/main" flipV="1">
          <a:off x="1143000" y="395288"/>
          <a:ext cx="2914650" cy="1400176"/>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0.0205</cdr:x>
      <cdr:y>0.18992</cdr:y>
    </cdr:from>
    <cdr:to>
      <cdr:x>0.1982</cdr:x>
      <cdr:y>0.69767</cdr:y>
    </cdr:to>
    <cdr:sp macro="" textlink="">
      <cdr:nvSpPr>
        <cdr:cNvPr id="6" name="Text Box 5"/>
        <cdr:cNvSpPr txBox="1"/>
      </cdr:nvSpPr>
      <cdr:spPr>
        <a:xfrm xmlns:a="http://schemas.openxmlformats.org/drawingml/2006/main">
          <a:off x="95694" y="520996"/>
          <a:ext cx="829340" cy="139286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b="1" i="1"/>
            <a:t>2014 to 2015</a:t>
          </a:r>
        </a:p>
        <a:p xmlns:a="http://schemas.openxmlformats.org/drawingml/2006/main">
          <a:r>
            <a:rPr lang="en-US" sz="1100" b="1" i="1"/>
            <a:t> 106%</a:t>
          </a:r>
        </a:p>
        <a:p xmlns:a="http://schemas.openxmlformats.org/drawingml/2006/main">
          <a:r>
            <a:rPr lang="en-US" sz="1100" b="1" i="1" baseline="0"/>
            <a:t> increase</a:t>
          </a:r>
        </a:p>
        <a:p xmlns:a="http://schemas.openxmlformats.org/drawingml/2006/main">
          <a:endParaRPr lang="en-US" sz="1100" b="1" i="1" baseline="0"/>
        </a:p>
        <a:p xmlns:a="http://schemas.openxmlformats.org/drawingml/2006/main">
          <a:r>
            <a:rPr lang="en-US" sz="1100" b="1" i="1" baseline="0"/>
            <a:t>2011 to 2015</a:t>
          </a:r>
        </a:p>
        <a:p xmlns:a="http://schemas.openxmlformats.org/drawingml/2006/main">
          <a:r>
            <a:rPr lang="en-US" sz="1100" b="1" i="1" baseline="0"/>
            <a:t>543%</a:t>
          </a:r>
        </a:p>
        <a:p xmlns:a="http://schemas.openxmlformats.org/drawingml/2006/main">
          <a:r>
            <a:rPr lang="en-US" sz="1100" b="1" i="1" baseline="0"/>
            <a:t>increase</a:t>
          </a:r>
          <a:endParaRPr lang="en-US" sz="1100" b="1" i="1"/>
        </a:p>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0.77917</cdr:x>
      <cdr:y>0.7691</cdr:y>
    </cdr:from>
    <cdr:to>
      <cdr:x>0.98125</cdr:x>
      <cdr:y>1</cdr:y>
    </cdr:to>
    <cdr:sp macro="" textlink="">
      <cdr:nvSpPr>
        <cdr:cNvPr id="2" name="TextBox 1"/>
        <cdr:cNvSpPr txBox="1"/>
      </cdr:nvSpPr>
      <cdr:spPr>
        <a:xfrm xmlns:a="http://schemas.openxmlformats.org/drawingml/2006/main">
          <a:off x="3562350" y="2109788"/>
          <a:ext cx="923925" cy="63341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b="1" i="1">
              <a:solidFill>
                <a:srgbClr val="FF0000"/>
              </a:solidFill>
            </a:rPr>
            <a:t>No Tonnage</a:t>
          </a:r>
        </a:p>
        <a:p xmlns:a="http://schemas.openxmlformats.org/drawingml/2006/main">
          <a:r>
            <a:rPr lang="en-US" sz="1100" b="1" i="1">
              <a:solidFill>
                <a:srgbClr val="FF0000"/>
              </a:solidFill>
            </a:rPr>
            <a:t>Fees collected</a:t>
          </a:r>
        </a:p>
        <a:p xmlns:a="http://schemas.openxmlformats.org/drawingml/2006/main">
          <a:r>
            <a:rPr lang="en-US" sz="1100" b="1" i="1">
              <a:solidFill>
                <a:srgbClr val="FF0000"/>
              </a:solidFill>
            </a:rPr>
            <a:t>for 2015</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This report outlines the major accomplishments and sampling results of Maine’s 2015 Fertilizer Quality Control Program produced in accordance with MRS Title 7, Sections § 743,   § 743-A, §765 and §766. Our mission statement for this program is to serve, promote and protect the Agricultural Producers, and Retail Consumers of the State of Maine by continuously working to improve the quality of fertilizer products sold in Maine.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58531F-A637-446A-9022-C5070316F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FERTILIZER PROGRAM SUMMARY REPORT</vt:lpstr>
    </vt:vector>
  </TitlesOfParts>
  <Company>State of Maine</Company>
  <LinksUpToDate>false</LinksUpToDate>
  <CharactersWithSpaces>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FERTILIZER PROGRAM SUMMARY REPORT</dc:title>
  <dc:creator>Crush, Michael</dc:creator>
  <cp:lastModifiedBy>Crush, Michael</cp:lastModifiedBy>
  <cp:revision>3</cp:revision>
  <cp:lastPrinted>2015-11-06T17:48:00Z</cp:lastPrinted>
  <dcterms:created xsi:type="dcterms:W3CDTF">2015-11-06T18:10:00Z</dcterms:created>
  <dcterms:modified xsi:type="dcterms:W3CDTF">2016-03-14T19:49:00Z</dcterms:modified>
</cp:coreProperties>
</file>